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838506c60f356bcb197b1f448f6f8574b2e365c"/>
    <w:p>
      <w:pPr>
        <w:pStyle w:val="Heading1"/>
      </w:pPr>
      <w:r>
        <w:t xml:space="preserve">Essex Property Trust (NYSE: ESS) — 2Q26 Earnings Preview</w:t>
      </w:r>
    </w:p>
    <w:p>
      <w:pPr>
        <w:pStyle w:val="BlockText"/>
      </w:pPr>
      <w:r>
        <w:rPr>
          <w:b/>
          <w:bCs/>
        </w:rPr>
        <w:t xml:space="preserve">Date clarification:</w:t>
      </w:r>
      <w:r>
        <w:t xml:space="preserve"> </w:t>
      </w:r>
      <w:r>
        <w:t xml:space="preserve">The scheduled 2Q26 earnings event is</w:t>
      </w:r>
      <w:r>
        <w:t xml:space="preserve"> </w:t>
      </w:r>
      <w:r>
        <w:rPr>
          <w:b/>
          <w:bCs/>
        </w:rPr>
        <w:t xml:space="preserve">today, Wednesday, July 29, 2026</w:t>
      </w:r>
      <w:r>
        <w:t xml:space="preserve">, not tomorrow. This preview is based on information available through the July 28 market close; it does not include 2Q results.</w:t>
      </w:r>
    </w:p>
    <w:bookmarkStart w:id="10" w:name="investment-framing"/>
    <w:p>
      <w:pPr>
        <w:pStyle w:val="Heading2"/>
      </w:pPr>
      <w:r>
        <w:t xml:space="preserve">Investment framing</w:t>
      </w:r>
    </w:p>
    <w:p>
      <w:pPr>
        <w:pStyle w:val="FirstParagraph"/>
      </w:pPr>
      <w:r>
        <w:t xml:space="preserve">Essex enters 2Q earnings with</w:t>
      </w:r>
      <w:r>
        <w:t xml:space="preserve"> </w:t>
      </w:r>
      <w:r>
        <w:rPr>
          <w:b/>
          <w:bCs/>
        </w:rPr>
        <w:t xml:space="preserve">operating momentum improving</w:t>
      </w:r>
      <w:r>
        <w:t xml:space="preserve">, especially in Northern California, but with the stock already reflecting a substantially more constructive view than it did at the April report. The central question is less likely to be whether ESS lands within its</w:t>
      </w:r>
      <w:r>
        <w:t xml:space="preserve"> </w:t>
      </w:r>
      <m:oMath>
        <m:r>
          <m:t>3.92</m:t>
        </m:r>
        <m:r>
          <m:rPr>
            <m:sty m:val="p"/>
          </m:rPr>
          <m:t>–</m:t>
        </m:r>
      </m:oMath>
      <w:r>
        <w:rPr>
          <w:b/>
          <w:bCs/>
        </w:rPr>
        <w:t xml:space="preserve">4.04 Core FFO/share</w:t>
      </w:r>
      <w:r>
        <w:t xml:space="preserve"> </w:t>
      </w:r>
      <w:r>
        <w:t xml:space="preserve">guidance range, and more whether peak-leasing-season results substantiate a higher full-year same-property revenue outlook—without the company needing to take more risk in capital allocation or structured-finance investments.</w:t>
      </w:r>
    </w:p>
    <w:p>
      <w:pPr>
        <w:pStyle w:val="BodyText"/>
      </w:pPr>
      <w:r>
        <w:t xml:space="preserve">The Q1 setup was encouraging: Core FFO of</w:t>
      </w:r>
      <w:r>
        <w:t xml:space="preserve"> </w:t>
      </w:r>
      <m:oMath>
        <m:r>
          <m:t>4.06</m:t>
        </m:r>
        <m:r>
          <m:rPr>
            <m:sty m:val="p"/>
          </m:rPr>
          <m:t>*</m:t>
        </m:r>
        <m:r>
          <m:rPr>
            <m:sty m:val="p"/>
          </m:rPr>
          <m:t>*</m:t>
        </m:r>
        <m:r>
          <m:t>b</m:t>
        </m:r>
        <m:r>
          <m:t>e</m:t>
        </m:r>
        <m:r>
          <m:t>a</m:t>
        </m:r>
        <m:r>
          <m:t>t</m:t>
        </m:r>
        <m:r>
          <m:t>t</m:t>
        </m:r>
        <m:r>
          <m:t>h</m:t>
        </m:r>
        <m:r>
          <m:t>e</m:t>
        </m:r>
        <m:r>
          <m:t>h</m:t>
        </m:r>
        <m:r>
          <m:t>i</m:t>
        </m:r>
        <m:r>
          <m:t>g</m:t>
        </m:r>
        <m:r>
          <m:t>h</m:t>
        </m:r>
        <m:r>
          <m:t>e</m:t>
        </m:r>
        <m:r>
          <m:t>n</m:t>
        </m:r>
        <m:r>
          <m:t>d</m:t>
        </m:r>
        <m:r>
          <m:t>o</m:t>
        </m:r>
        <m:r>
          <m:t>f</m:t>
        </m:r>
        <m:r>
          <m:t>g</m:t>
        </m:r>
        <m:r>
          <m:t>u</m:t>
        </m:r>
        <m:r>
          <m:t>i</m:t>
        </m:r>
        <m:r>
          <m:t>d</m:t>
        </m:r>
        <m:r>
          <m:t>a</m:t>
        </m:r>
        <m:r>
          <m:t>n</m:t>
        </m:r>
        <m:r>
          <m:t>c</m:t>
        </m:r>
        <m:r>
          <m:t>e</m:t>
        </m:r>
        <m:r>
          <m:rPr>
            <m:sty m:val="p"/>
          </m:rPr>
          <m:t>,</m:t>
        </m:r>
        <m:r>
          <m:t>s</m:t>
        </m:r>
        <m:r>
          <m:t>a</m:t>
        </m:r>
        <m:r>
          <m:t>m</m:t>
        </m:r>
        <m:r>
          <m:t>e</m:t>
        </m:r>
        <m:r>
          <m:rPr>
            <m:sty m:val="p"/>
          </m:rPr>
          <m:t>−</m:t>
        </m:r>
        <m:r>
          <m:t>p</m:t>
        </m:r>
        <m:r>
          <m:t>r</m:t>
        </m:r>
        <m:r>
          <m:t>o</m:t>
        </m:r>
        <m:r>
          <m:t>p</m:t>
        </m:r>
        <m:r>
          <m:t>e</m:t>
        </m:r>
        <m:r>
          <m:t>r</m:t>
        </m:r>
        <m:r>
          <m:t>t</m:t>
        </m:r>
        <m:r>
          <m:t>y</m:t>
        </m:r>
        <m:r>
          <m:t>r</m:t>
        </m:r>
        <m:r>
          <m:t>e</m:t>
        </m:r>
        <m:r>
          <m:t>v</m:t>
        </m:r>
        <m:r>
          <m:t>e</m:t>
        </m:r>
        <m:r>
          <m:t>n</m:t>
        </m:r>
        <m:r>
          <m:t>u</m:t>
        </m:r>
        <m:r>
          <m:t>e</m:t>
        </m:r>
        <m:r>
          <m:t>g</m:t>
        </m:r>
        <m:r>
          <m:t>r</m:t>
        </m:r>
        <m:r>
          <m:t>e</m:t>
        </m:r>
        <m:r>
          <m:t>w</m:t>
        </m:r>
        <m:r>
          <m:rPr>
            <m:sty m:val="p"/>
          </m:rPr>
          <m:t>*</m:t>
        </m:r>
        <m:r>
          <m:rPr>
            <m:sty m:val="p"/>
          </m:rPr>
          <m:t>*</m:t>
        </m:r>
        <m:r>
          <m:t>2.9</m:t>
        </m:r>
      </m:oMath>
      <w:r>
        <w:rPr>
          <w:b/>
          <w:bCs/>
        </w:rPr>
        <w:t xml:space="preserve">15.69–$16.19/share</w:t>
      </w:r>
      <w:r>
        <w:t xml:space="preserve">, while setting 2Q Core FFO guidance at</w:t>
      </w:r>
      <w:r>
        <w:t xml:space="preserve"> </w:t>
      </w:r>
      <m:oMath>
        <m:r>
          <m:t>3.92</m:t>
        </m:r>
        <m:r>
          <m:rPr>
            <m:sty m:val="p"/>
          </m:rPr>
          <m:t>–</m:t>
        </m:r>
      </m:oMath>
      <w:r>
        <w:t xml:space="preserve">4.04. (</w:t>
      </w:r>
      <w:hyperlink r:id="rId9">
        <w:r>
          <w:rPr>
            <w:rStyle w:val="Hyperlink"/>
          </w:rPr>
          <w:t xml:space="preserve">investors.essexapartmenthomes.com</w:t>
        </w:r>
      </w:hyperlink>
      <w:r>
        <w:t xml:space="preserve">)</w:t>
      </w:r>
    </w:p>
    <w:bookmarkEnd w:id="10"/>
    <w:bookmarkStart w:id="16" w:name="what-matters-most-this-quarter"/>
    <w:p>
      <w:pPr>
        <w:pStyle w:val="Heading2"/>
      </w:pPr>
      <w:r>
        <w:t xml:space="preserve">What matters most this quarter</w:t>
      </w:r>
    </w:p>
    <w:bookmarkStart w:id="11" w:name="X86393510f77c19830ae7ae09180d9adfac74c66"/>
    <w:p>
      <w:pPr>
        <w:pStyle w:val="Heading3"/>
      </w:pPr>
      <w:r>
        <w:t xml:space="preserve">1. Whether strong May leasing converts into a higher 2026 revenue outlook</w:t>
      </w:r>
    </w:p>
    <w:p>
      <w:pPr>
        <w:pStyle w:val="FirstParagraph"/>
      </w:pPr>
      <w:r>
        <w:t xml:space="preserve">This is the primary catalyst. In Q1, ESS reported blended lease-rate growth of 1.4%, which improved to 3.1% in April. At its June Nareit presentation, management said blended growth had reached</w:t>
      </w:r>
      <w:r>
        <w:t xml:space="preserve"> </w:t>
      </w:r>
      <w:r>
        <w:rPr>
          <w:b/>
          <w:bCs/>
        </w:rPr>
        <w:t xml:space="preserve">3.7% in May</w:t>
      </w:r>
      <w:r>
        <w:t xml:space="preserve"> </w:t>
      </w:r>
      <w:r>
        <w:t xml:space="preserve">and that it was shifting from an occupancy-protection strategy to more aggressively pushing rents in most markets.</w:t>
      </w:r>
    </w:p>
    <w:p>
      <w:pPr>
        <w:pStyle w:val="BodyText"/>
      </w:pPr>
      <w:r>
        <w:t xml:space="preserve">That trend is particularly relevant because management’s unchanged full-year same-property revenue-growth range of</w:t>
      </w:r>
      <w:r>
        <w:t xml:space="preserve"> </w:t>
      </w:r>
      <w:r>
        <w:rPr>
          <w:b/>
          <w:bCs/>
        </w:rPr>
        <w:t xml:space="preserve">1.7%–3.1%</w:t>
      </w:r>
      <w:r>
        <w:t xml:space="preserve"> </w:t>
      </w:r>
      <w:r>
        <w:t xml:space="preserve">appears conservative if current leasing strength persists. The Q2 call should clarify:</w:t>
      </w:r>
    </w:p>
    <w:p>
      <w:pPr>
        <w:pStyle w:val="Compact"/>
        <w:numPr>
          <w:ilvl w:val="0"/>
          <w:numId w:val="1001"/>
        </w:numPr>
      </w:pPr>
      <w:r>
        <w:rPr>
          <w:b/>
          <w:bCs/>
        </w:rPr>
        <w:t xml:space="preserve">June and July blended lease-rate growth</w:t>
      </w:r>
      <w:r>
        <w:t xml:space="preserve">, including new versus renewal spreads.</w:t>
      </w:r>
    </w:p>
    <w:p>
      <w:pPr>
        <w:pStyle w:val="Compact"/>
        <w:numPr>
          <w:ilvl w:val="0"/>
          <w:numId w:val="1001"/>
        </w:numPr>
      </w:pPr>
      <w:r>
        <w:t xml:space="preserve">Whether rent growth held after the May data point or accelerated during the seasonal peak.</w:t>
      </w:r>
    </w:p>
    <w:p>
      <w:pPr>
        <w:pStyle w:val="Compact"/>
        <w:numPr>
          <w:ilvl w:val="0"/>
          <w:numId w:val="1001"/>
        </w:numPr>
      </w:pPr>
      <w:r>
        <w:t xml:space="preserve">Occupancy and concession trends as ESS traded some occupancy optimization for price.</w:t>
      </w:r>
    </w:p>
    <w:p>
      <w:pPr>
        <w:pStyle w:val="Compact"/>
        <w:numPr>
          <w:ilvl w:val="0"/>
          <w:numId w:val="1001"/>
        </w:numPr>
      </w:pPr>
      <w:r>
        <w:t xml:space="preserve">Whether the revenue outlook rises, or management again waits for more macro visibility.</w:t>
      </w:r>
    </w:p>
    <w:p>
      <w:pPr>
        <w:pStyle w:val="FirstParagraph"/>
      </w:pPr>
      <w:r>
        <w:t xml:space="preserve">A raise in the same-property revenue midpoint would be the cleanest positive outcome. Conversely, a maintained outlook despite solid reported Q2 results may be interpreted as caution on the second-half demand environment.</w:t>
      </w:r>
    </w:p>
    <w:bookmarkEnd w:id="11"/>
    <w:bookmarkStart w:id="13" w:name="X6949ca34845240ba8508296b3026477c30880d0"/>
    <w:p>
      <w:pPr>
        <w:pStyle w:val="Heading3"/>
      </w:pPr>
      <w:r>
        <w:t xml:space="preserve">2. Northern California needs to remain the engine</w:t>
      </w:r>
    </w:p>
    <w:p>
      <w:pPr>
        <w:pStyle w:val="FirstParagraph"/>
      </w:pPr>
      <w:r>
        <w:t xml:space="preserve">Northern California is the portfolio’s most important upside lever: it represents roughly</w:t>
      </w:r>
      <w:r>
        <w:t xml:space="preserve"> </w:t>
      </w:r>
      <w:r>
        <w:rPr>
          <w:b/>
          <w:bCs/>
        </w:rPr>
        <w:t xml:space="preserve">42% of total NOI</w:t>
      </w:r>
      <w:r>
        <w:t xml:space="preserve">, with Santa Clara County alone contributing more than one-fifth. In Q1, Northern California same-property revenue grew</w:t>
      </w:r>
      <w:r>
        <w:t xml:space="preserve"> </w:t>
      </w:r>
      <w:r>
        <w:rPr>
          <w:b/>
          <w:bCs/>
        </w:rPr>
        <w:t xml:space="preserve">3.9%</w:t>
      </w:r>
      <w:r>
        <w:t xml:space="preserve"> </w:t>
      </w:r>
      <w:r>
        <w:t xml:space="preserve">year over year, ahead of Southern California’s 2.2% and Seattle’s 2.3%. Q1 growth was strongest in San Mateo, Santa Clara, and San Francisco. (</w:t>
      </w:r>
      <w:hyperlink r:id="rId12">
        <w:r>
          <w:rPr>
            <w:rStyle w:val="Hyperlink"/>
          </w:rPr>
          <w:t xml:space="preserve">sec.gov</w:t>
        </w:r>
      </w:hyperlink>
      <w:r>
        <w:t xml:space="preserve">)</w:t>
      </w:r>
    </w:p>
    <w:p>
      <w:pPr>
        <w:pStyle w:val="BodyText"/>
      </w:pPr>
      <w:r>
        <w:t xml:space="preserve">Management has tied the region’s strength to:</w:t>
      </w:r>
    </w:p>
    <w:p>
      <w:pPr>
        <w:pStyle w:val="Compact"/>
        <w:numPr>
          <w:ilvl w:val="0"/>
          <w:numId w:val="1002"/>
        </w:numPr>
      </w:pPr>
      <w:r>
        <w:t xml:space="preserve">Improving Bay Area migration and return-to-office activity;</w:t>
      </w:r>
    </w:p>
    <w:p>
      <w:pPr>
        <w:pStyle w:val="Compact"/>
        <w:numPr>
          <w:ilvl w:val="0"/>
          <w:numId w:val="1002"/>
        </w:numPr>
      </w:pPr>
      <w:r>
        <w:t xml:space="preserve">Steady large-tech job postings;</w:t>
      </w:r>
    </w:p>
    <w:p>
      <w:pPr>
        <w:pStyle w:val="Compact"/>
        <w:numPr>
          <w:ilvl w:val="0"/>
          <w:numId w:val="1002"/>
        </w:numPr>
      </w:pPr>
      <w:r>
        <w:t xml:space="preserve">AI-related company formation and hiring across San Francisco and the Peninsula; and</w:t>
      </w:r>
    </w:p>
    <w:p>
      <w:pPr>
        <w:pStyle w:val="Compact"/>
        <w:numPr>
          <w:ilvl w:val="0"/>
          <w:numId w:val="1002"/>
        </w:numPr>
      </w:pPr>
      <w:r>
        <w:t xml:space="preserve">exceptionally low prospective apartment supply.</w:t>
      </w:r>
    </w:p>
    <w:p>
      <w:pPr>
        <w:pStyle w:val="FirstParagraph"/>
      </w:pPr>
      <w:r>
        <w:t xml:space="preserve">The key risk is that investors are increasingly underwriting this Bay Area recovery. Thus, ESS likely needs not simply a good Northern California print, but evidence that growth is</w:t>
      </w:r>
      <w:r>
        <w:t xml:space="preserve"> </w:t>
      </w:r>
      <w:r>
        <w:rPr>
          <w:b/>
          <w:bCs/>
        </w:rPr>
        <w:t xml:space="preserve">broadening and durable</w:t>
      </w:r>
      <w:r>
        <w:t xml:space="preserve">—rather than isolated to a few high-performing submarkets.</w:t>
      </w:r>
    </w:p>
    <w:bookmarkEnd w:id="13"/>
    <w:bookmarkStart w:id="14" w:name="X59ee5c44bfca91c0235900d3559c7a06de78455"/>
    <w:p>
      <w:pPr>
        <w:pStyle w:val="Heading3"/>
      </w:pPr>
      <w:r>
        <w:t xml:space="preserve">3. Los Angeles remains the swing factor to portfolio-wide upside</w:t>
      </w:r>
    </w:p>
    <w:p>
      <w:pPr>
        <w:pStyle w:val="FirstParagraph"/>
      </w:pPr>
      <w:r>
        <w:t xml:space="preserve">Los Angeles is still the weak link. Management described the market as stable but slow, with economic occupancy near—but not yet at—the approximate</w:t>
      </w:r>
      <w:r>
        <w:t xml:space="preserve"> </w:t>
      </w:r>
      <w:r>
        <w:rPr>
          <w:b/>
          <w:bCs/>
        </w:rPr>
        <w:t xml:space="preserve">95%</w:t>
      </w:r>
      <w:r>
        <w:t xml:space="preserve"> </w:t>
      </w:r>
      <w:r>
        <w:t xml:space="preserve">level it views as sufficient to restore more meaningful pricing power. In Q1, Los Angeles same-property revenue grew only</w:t>
      </w:r>
      <w:r>
        <w:t xml:space="preserve"> </w:t>
      </w:r>
      <w:r>
        <w:rPr>
          <w:b/>
          <w:bCs/>
        </w:rPr>
        <w:t xml:space="preserve">1.7%</w:t>
      </w:r>
      <w:r>
        <w:t xml:space="preserve">, and management indicated that excluding LA would have made April new-lease growth materially stronger.</w:t>
      </w:r>
    </w:p>
    <w:p>
      <w:pPr>
        <w:pStyle w:val="BodyText"/>
      </w:pPr>
      <w:r>
        <w:t xml:space="preserve">For the quarter, investors should focus on:</w:t>
      </w:r>
    </w:p>
    <w:p>
      <w:pPr>
        <w:pStyle w:val="Compact"/>
        <w:numPr>
          <w:ilvl w:val="0"/>
          <w:numId w:val="1003"/>
        </w:numPr>
      </w:pPr>
      <w:r>
        <w:t xml:space="preserve">LA economic occupancy, delinquency, and eviction-processing timelines;</w:t>
      </w:r>
    </w:p>
    <w:p>
      <w:pPr>
        <w:pStyle w:val="Compact"/>
        <w:numPr>
          <w:ilvl w:val="0"/>
          <w:numId w:val="1003"/>
        </w:numPr>
      </w:pPr>
      <w:r>
        <w:t xml:space="preserve">concessions, particularly in Los Angeles and San Diego;</w:t>
      </w:r>
    </w:p>
    <w:p>
      <w:pPr>
        <w:pStyle w:val="Compact"/>
        <w:numPr>
          <w:ilvl w:val="0"/>
          <w:numId w:val="1003"/>
        </w:numPr>
      </w:pPr>
      <w:r>
        <w:t xml:space="preserve">whether blended pricing has turned sustainably positive; and</w:t>
      </w:r>
    </w:p>
    <w:p>
      <w:pPr>
        <w:pStyle w:val="Compact"/>
        <w:numPr>
          <w:ilvl w:val="0"/>
          <w:numId w:val="1003"/>
        </w:numPr>
      </w:pPr>
      <w:r>
        <w:t xml:space="preserve">the timing of any move from “stabilization” to actual rent-growth recovery.</w:t>
      </w:r>
    </w:p>
    <w:p>
      <w:pPr>
        <w:pStyle w:val="FirstParagraph"/>
      </w:pPr>
      <w:r>
        <w:t xml:space="preserve">ESS does not need LA to become a major growth market in 2Q. But a credible path toward 95% economic occupancy and reduced concessions would improve confidence in 2027 earnings power.</w:t>
      </w:r>
    </w:p>
    <w:bookmarkEnd w:id="14"/>
    <w:bookmarkStart w:id="15" w:name="Xa74c186f7a895943e9fd70a94cfcece1d2e2331"/>
    <w:p>
      <w:pPr>
        <w:pStyle w:val="Heading3"/>
      </w:pPr>
      <w:r>
        <w:t xml:space="preserve">4. Seattle should show the expected post-supply improvement</w:t>
      </w:r>
    </w:p>
    <w:p>
      <w:pPr>
        <w:pStyle w:val="FirstParagraph"/>
      </w:pPr>
      <w:r>
        <w:t xml:space="preserve">Seattle was softer in Q1, with negative 0.8% blended lease growth, reflecting soft early-year demand and absorption of prior deliveries. However, management said rates turned positive in March and improved thereafter, while new supply is expected to decline materially in 2026 and again in 2027.</w:t>
      </w:r>
    </w:p>
    <w:p>
      <w:pPr>
        <w:pStyle w:val="BodyText"/>
      </w:pPr>
      <w:r>
        <w:t xml:space="preserve">A Q2 improvement in Seattle lease pricing would support the narrative that ESS has three improving regional engines rather than a one-market Bay Area story. The downside would be a reacceleration in concessions or a failure of better leasing to translate into revenue growth.</w:t>
      </w:r>
    </w:p>
    <w:bookmarkEnd w:id="15"/>
    <w:bookmarkEnd w:id="16"/>
    <w:bookmarkStart w:id="17" w:name="X73402e9aac640107b9842a46bd216511bd0cfbe"/>
    <w:p>
      <w:pPr>
        <w:pStyle w:val="Heading2"/>
      </w:pPr>
      <w:r>
        <w:t xml:space="preserve">Earnings and guidance: what is already embedded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1Q26 actual</w:t>
            </w:r>
          </w:p>
        </w:tc>
        <w:tc>
          <w:tcPr/>
          <w:p>
            <w:pPr>
              <w:pStyle w:val="Compact"/>
              <w:jc w:val="right"/>
            </w:pPr>
            <w:r>
              <w:t xml:space="preserve">2Q26 guidance / current outlook</w:t>
            </w:r>
          </w:p>
        </w:tc>
      </w:tr>
      <w:tr>
        <w:tc>
          <w:tcPr/>
          <w:p>
            <w:pPr>
              <w:pStyle w:val="Compact"/>
            </w:pPr>
            <w:r>
              <w:t xml:space="preserve">Core FFO/share</w:t>
            </w:r>
          </w:p>
        </w:tc>
        <w:tc>
          <w:tcPr/>
          <w:p>
            <w:pPr>
              <w:pStyle w:val="Compact"/>
              <w:jc w:val="right"/>
            </w:pPr>
            <w:r>
              <w:t xml:space="preserve">$4.06</w:t>
            </w:r>
          </w:p>
        </w:tc>
        <w:tc>
          <w:tcPr/>
          <w:p>
            <w:pPr>
              <w:pStyle w:val="Compact"/>
              <w:jc w:val="right"/>
            </w:pPr>
            <m:oMath>
              <m:r>
                <m:t>3.92</m:t>
              </m:r>
              <m:r>
                <m:rPr>
                  <m:sty m:val="p"/>
                </m:rPr>
                <m:t>–</m:t>
              </m:r>
            </m:oMath>
            <w:r>
              <w:t xml:space="preserve">4.04</w:t>
            </w:r>
          </w:p>
        </w:tc>
      </w:tr>
      <w:tr>
        <w:tc>
          <w:tcPr/>
          <w:p>
            <w:pPr>
              <w:pStyle w:val="Compact"/>
            </w:pPr>
            <w:r>
              <w:t xml:space="preserve">Full-year Core FFO/share</w:t>
            </w:r>
          </w:p>
        </w:tc>
        <w:tc>
          <w:tcPr/>
          <w:p>
            <w:pPr>
              <w:pStyle w:val="Compact"/>
              <w:jc w:val="right"/>
            </w:pPr>
            <w:r>
              <w:t xml:space="preserve">—</w:t>
            </w:r>
          </w:p>
        </w:tc>
        <w:tc>
          <w:tcPr/>
          <w:p>
            <w:pPr>
              <w:pStyle w:val="Compact"/>
              <w:jc w:val="right"/>
            </w:pPr>
            <m:oMath>
              <m:r>
                <m:t>15.69</m:t>
              </m:r>
              <m:r>
                <m:rPr>
                  <m:sty m:val="p"/>
                </m:rPr>
                <m:t>–</m:t>
              </m:r>
            </m:oMath>
            <w:r>
              <w:t xml:space="preserve">16.19</w:t>
            </w:r>
          </w:p>
        </w:tc>
      </w:tr>
      <w:tr>
        <w:tc>
          <w:tcPr/>
          <w:p>
            <w:pPr>
              <w:pStyle w:val="Compact"/>
            </w:pPr>
            <w:r>
              <w:t xml:space="preserve">Same-property revenue growth</w:t>
            </w:r>
          </w:p>
        </w:tc>
        <w:tc>
          <w:tcPr/>
          <w:p>
            <w:pPr>
              <w:pStyle w:val="Compact"/>
              <w:jc w:val="right"/>
            </w:pPr>
            <w:r>
              <w:t xml:space="preserve">2.9% y/y</w:t>
            </w:r>
          </w:p>
        </w:tc>
        <w:tc>
          <w:tcPr/>
          <w:p>
            <w:pPr>
              <w:pStyle w:val="Compact"/>
              <w:jc w:val="right"/>
            </w:pPr>
            <w:r>
              <w:t xml:space="preserve">1.7%–3.1% for FY26</w:t>
            </w:r>
          </w:p>
        </w:tc>
      </w:tr>
      <w:tr>
        <w:tc>
          <w:tcPr/>
          <w:p>
            <w:pPr>
              <w:pStyle w:val="Compact"/>
            </w:pPr>
            <w:r>
              <w:t xml:space="preserve">Same-property expense growth</w:t>
            </w:r>
          </w:p>
        </w:tc>
        <w:tc>
          <w:tcPr/>
          <w:p>
            <w:pPr>
              <w:pStyle w:val="Compact"/>
              <w:jc w:val="right"/>
            </w:pPr>
            <w:r>
              <w:t xml:space="preserve">0.2% y/y</w:t>
            </w:r>
          </w:p>
        </w:tc>
        <w:tc>
          <w:tcPr/>
          <w:p>
            <w:pPr>
              <w:pStyle w:val="Compact"/>
              <w:jc w:val="right"/>
            </w:pPr>
            <w:r>
              <w:t xml:space="preserve">2.5%–3.5% for FY26</w:t>
            </w:r>
          </w:p>
        </w:tc>
      </w:tr>
      <w:tr>
        <w:tc>
          <w:tcPr/>
          <w:p>
            <w:pPr>
              <w:pStyle w:val="Compact"/>
            </w:pPr>
            <w:r>
              <w:t xml:space="preserve">Same-property NOI growth</w:t>
            </w:r>
          </w:p>
        </w:tc>
        <w:tc>
          <w:tcPr/>
          <w:p>
            <w:pPr>
              <w:pStyle w:val="Compact"/>
              <w:jc w:val="right"/>
            </w:pPr>
            <w:r>
              <w:t xml:space="preserve">4.1% y/y</w:t>
            </w:r>
          </w:p>
        </w:tc>
        <w:tc>
          <w:tcPr/>
          <w:p>
            <w:pPr>
              <w:pStyle w:val="Compact"/>
              <w:jc w:val="right"/>
            </w:pPr>
            <w:r>
              <w:t xml:space="preserve">0.8%–3.4% for FY26</w:t>
            </w:r>
          </w:p>
        </w:tc>
      </w:tr>
      <w:tr>
        <w:tc>
          <w:tcPr/>
          <w:p>
            <w:pPr>
              <w:pStyle w:val="Compact"/>
            </w:pPr>
            <w:r>
              <w:t xml:space="preserve">Financial occupancy</w:t>
            </w:r>
          </w:p>
        </w:tc>
        <w:tc>
          <w:tcPr/>
          <w:p>
            <w:pPr>
              <w:pStyle w:val="Compact"/>
              <w:jc w:val="right"/>
            </w:pPr>
            <w:r>
              <w:t xml:space="preserve">96.5%</w:t>
            </w:r>
          </w:p>
        </w:tc>
        <w:tc>
          <w:tcPr/>
          <w:p>
            <w:pPr>
              <w:pStyle w:val="Compact"/>
              <w:jc w:val="right"/>
            </w:pPr>
            <w:r>
              <w:t xml:space="preserve">Watch for seasonal movement</w:t>
            </w:r>
          </w:p>
        </w:tc>
      </w:tr>
    </w:tbl>
    <w:p>
      <w:pPr>
        <w:pStyle w:val="BodyText"/>
      </w:pPr>
      <w:r>
        <w:t xml:space="preserve">The expected sequential decline from Q1 Core FFO is not necessarily an operating concern. Q1 benefited from better-than-planned property results and timing-related expense favorability. Management specifically cautioned that deferred controllable-property spending would reverse later in the year. It also expected approximately</w:t>
      </w:r>
      <w:r>
        <w:t xml:space="preserve"> </w:t>
      </w:r>
      <w:r>
        <w:rPr>
          <w:b/>
          <w:bCs/>
        </w:rPr>
        <w:t xml:space="preserve">$90 million</w:t>
      </w:r>
      <w:r>
        <w:t xml:space="preserve"> </w:t>
      </w:r>
      <w:r>
        <w:t xml:space="preserve">of early structured-finance redemptions in Q2, creating a near-term earnings headwind even though the cash return itself improves liquidity and removes future volatility. (</w:t>
      </w:r>
      <w:hyperlink r:id="rId9">
        <w:r>
          <w:rPr>
            <w:rStyle w:val="Hyperlink"/>
          </w:rPr>
          <w:t xml:space="preserve">investors.essexapartmenthomes.com</w:t>
        </w:r>
      </w:hyperlink>
      <w:r>
        <w:t xml:space="preserve">)</w:t>
      </w:r>
    </w:p>
    <w:p>
      <w:pPr>
        <w:pStyle w:val="BodyText"/>
      </w:pPr>
      <w:r>
        <w:t xml:space="preserve">Accordingly, the highest-quality earnings outcome would be:</w:t>
      </w:r>
    </w:p>
    <w:p>
      <w:pPr>
        <w:pStyle w:val="Compact"/>
        <w:numPr>
          <w:ilvl w:val="0"/>
          <w:numId w:val="1004"/>
        </w:numPr>
      </w:pPr>
      <w:r>
        <w:t xml:space="preserve">Core FFO near or above the high end of Q2 guidance;</w:t>
      </w:r>
    </w:p>
    <w:p>
      <w:pPr>
        <w:pStyle w:val="Compact"/>
        <w:numPr>
          <w:ilvl w:val="0"/>
          <w:numId w:val="1004"/>
        </w:numPr>
      </w:pPr>
      <w:r>
        <w:t xml:space="preserve">a revenue outlook increase driven by leasing and occupancy, not transitory items;</w:t>
      </w:r>
    </w:p>
    <w:p>
      <w:pPr>
        <w:pStyle w:val="Compact"/>
        <w:numPr>
          <w:ilvl w:val="0"/>
          <w:numId w:val="1004"/>
        </w:numPr>
      </w:pPr>
      <w:r>
        <w:t xml:space="preserve">confirmation that expense timing is proceeding as planned; and</w:t>
      </w:r>
    </w:p>
    <w:p>
      <w:pPr>
        <w:pStyle w:val="Compact"/>
        <w:numPr>
          <w:ilvl w:val="0"/>
          <w:numId w:val="1004"/>
        </w:numPr>
      </w:pPr>
      <w:r>
        <w:t xml:space="preserve">limited incremental noise from preferred-equity or structured-finance positions.</w:t>
      </w:r>
    </w:p>
    <w:bookmarkEnd w:id="17"/>
    <w:bookmarkStart w:id="18" w:name="capital-allocation-and-balance-sheet"/>
    <w:p>
      <w:pPr>
        <w:pStyle w:val="Heading2"/>
      </w:pPr>
      <w:r>
        <w:t xml:space="preserve">Capital allocation and balance sheet</w:t>
      </w:r>
    </w:p>
    <w:p>
      <w:pPr>
        <w:pStyle w:val="FirstParagraph"/>
      </w:pPr>
      <w:r>
        <w:t xml:space="preserve">ESS entered Q2 from a position of financial flexibility. At March 31, it had more than $1.7 billion of immediately available liquidity, net debt-to-adjusted EBITDAre of 5.5x, and investment-grade ratings. It repaid</w:t>
      </w:r>
      <w:r>
        <w:t xml:space="preserve"> </w:t>
      </w:r>
      <m:oMath>
        <m:r>
          <m:t>450</m:t>
        </m:r>
        <m:r>
          <m:t>m</m:t>
        </m:r>
        <m:r>
          <m:t>i</m:t>
        </m:r>
        <m:r>
          <m:t>l</m:t>
        </m:r>
        <m:r>
          <m:t>l</m:t>
        </m:r>
        <m:r>
          <m:t>i</m:t>
        </m:r>
        <m:r>
          <m:t>o</m:t>
        </m:r>
        <m:r>
          <m:t>n</m:t>
        </m:r>
        <m:r>
          <m:t>o</m:t>
        </m:r>
        <m:r>
          <m:t>f</m:t>
        </m:r>
        <m:r>
          <m:t>u</m:t>
        </m:r>
        <m:r>
          <m:t>n</m:t>
        </m:r>
        <m:r>
          <m:t>s</m:t>
        </m:r>
        <m:r>
          <m:t>e</m:t>
        </m:r>
        <m:r>
          <m:t>c</m:t>
        </m:r>
        <m:r>
          <m:t>u</m:t>
        </m:r>
        <m:r>
          <m:t>r</m:t>
        </m:r>
        <m:r>
          <m:t>e</m:t>
        </m:r>
        <m:r>
          <m:t>d</m:t>
        </m:r>
        <m:r>
          <m:t>n</m:t>
        </m:r>
        <m:r>
          <m:t>o</m:t>
        </m:r>
        <m:r>
          <m:t>t</m:t>
        </m:r>
        <m:r>
          <m:t>e</m:t>
        </m:r>
        <m:r>
          <m:t>s</m:t>
        </m:r>
        <m:r>
          <m:t>i</m:t>
        </m:r>
        <m:r>
          <m:t>n</m:t>
        </m:r>
        <m:r>
          <m:t>A</m:t>
        </m:r>
        <m:r>
          <m:t>p</m:t>
        </m:r>
        <m:r>
          <m:t>r</m:t>
        </m:r>
        <m:r>
          <m:t>i</m:t>
        </m:r>
        <m:r>
          <m:t>l</m:t>
        </m:r>
        <m:r>
          <m:t>a</m:t>
        </m:r>
        <m:r>
          <m:t>n</m:t>
        </m:r>
        <m:r>
          <m:t>d</m:t>
        </m:r>
        <m:r>
          <m:t>h</m:t>
        </m:r>
        <m:r>
          <m:t>a</m:t>
        </m:r>
        <m:r>
          <m:t>d</m:t>
        </m:r>
        <m:r>
          <m:t>r</m:t>
        </m:r>
        <m:r>
          <m:t>e</m:t>
        </m:r>
        <m:r>
          <m:t>p</m:t>
        </m:r>
        <m:r>
          <m:t>u</m:t>
        </m:r>
        <m:r>
          <m:t>r</m:t>
        </m:r>
        <m:r>
          <m:t>c</m:t>
        </m:r>
        <m:r>
          <m:t>h</m:t>
        </m:r>
        <m:r>
          <m:t>a</m:t>
        </m:r>
        <m:r>
          <m:t>s</m:t>
        </m:r>
        <m:r>
          <m:t>e</m:t>
        </m:r>
        <m:r>
          <m:t>d</m:t>
        </m:r>
        <m:r>
          <m:rPr>
            <m:sty m:val="p"/>
          </m:rPr>
          <m:t>*</m:t>
        </m:r>
        <m:r>
          <m:rPr>
            <m:sty m:val="p"/>
          </m:rPr>
          <m:t>*</m:t>
        </m:r>
      </m:oMath>
      <w:r>
        <w:t xml:space="preserve">61.9 million** of stock through April 27 at an average price of</w:t>
      </w:r>
      <w:r>
        <w:t xml:space="preserve"> </w:t>
      </w:r>
      <w:r>
        <w:rPr>
          <w:b/>
          <w:bCs/>
        </w:rPr>
        <w:t xml:space="preserve">$243.76</w:t>
      </w:r>
      <w:r>
        <w:t xml:space="preserve">. (</w:t>
      </w:r>
      <w:hyperlink r:id="rId12">
        <w:r>
          <w:rPr>
            <w:rStyle w:val="Hyperlink"/>
          </w:rPr>
          <w:t xml:space="preserve">sec.gov</w:t>
        </w:r>
      </w:hyperlink>
      <w:r>
        <w:t xml:space="preserve">)</w:t>
      </w:r>
    </w:p>
    <w:p>
      <w:pPr>
        <w:pStyle w:val="BodyText"/>
      </w:pPr>
      <w:r>
        <w:t xml:space="preserve">Capital allocation warrants special attention because conditions have changed:</w:t>
      </w:r>
    </w:p>
    <w:p>
      <w:pPr>
        <w:pStyle w:val="Compact"/>
        <w:numPr>
          <w:ilvl w:val="0"/>
          <w:numId w:val="1005"/>
        </w:numPr>
      </w:pPr>
      <w:r>
        <w:rPr>
          <w:b/>
          <w:bCs/>
        </w:rPr>
        <w:t xml:space="preserve">Private-market apartment values</w:t>
      </w:r>
      <w:r>
        <w:t xml:space="preserve"> </w:t>
      </w:r>
      <w:r>
        <w:t xml:space="preserve">in ESS’s West Coast markets have remained firm, with management characterizing cap rates as generally mid-4%.</w:t>
      </w:r>
    </w:p>
    <w:p>
      <w:pPr>
        <w:pStyle w:val="Compact"/>
        <w:numPr>
          <w:ilvl w:val="0"/>
          <w:numId w:val="1005"/>
        </w:numPr>
      </w:pPr>
      <w:r>
        <w:t xml:space="preserve">ESS’s public share price was then viewed as offering a more attractive implied FFO yield, supporting buybacks.</w:t>
      </w:r>
    </w:p>
    <w:p>
      <w:pPr>
        <w:pStyle w:val="Compact"/>
        <w:numPr>
          <w:ilvl w:val="0"/>
          <w:numId w:val="1005"/>
        </w:numPr>
      </w:pPr>
      <w:r>
        <w:t xml:space="preserve">The stock has since rerated meaningfully, closing at</w:t>
      </w:r>
      <w:r>
        <w:t xml:space="preserve"> </w:t>
      </w:r>
      <w:r>
        <w:rPr>
          <w:b/>
          <w:bCs/>
        </w:rPr>
        <w:t xml:space="preserve">$294.56 on July 28</w:t>
      </w:r>
      <w:r>
        <w:t xml:space="preserve">—up about</w:t>
      </w:r>
      <w:r>
        <w:t xml:space="preserve"> </w:t>
      </w:r>
      <w:r>
        <w:rPr>
          <w:b/>
          <w:bCs/>
        </w:rPr>
        <w:t xml:space="preserve">10.0% since April 28</w:t>
      </w:r>
      <w:r>
        <w:t xml:space="preserve"> </w:t>
      </w:r>
      <w:r>
        <w:t xml:space="preserve">and</w:t>
      </w:r>
      <w:r>
        <w:t xml:space="preserve"> </w:t>
      </w:r>
      <w:r>
        <w:rPr>
          <w:b/>
          <w:bCs/>
        </w:rPr>
        <w:t xml:space="preserve">14.7% year to date</w:t>
      </w:r>
      <w:r>
        <w:t xml:space="preserve">. At the midpoint of full-year Core FFO guidance, that equates to roughly</w:t>
      </w:r>
      <w:r>
        <w:t xml:space="preserve"> </w:t>
      </w:r>
      <w:r>
        <w:rPr>
          <w:b/>
          <w:bCs/>
        </w:rPr>
        <w:t xml:space="preserve">18.5x Core FFO</w:t>
      </w:r>
      <w:r>
        <w:t xml:space="preserve">, while the $10.36 annualized dividend implies approximately a</w:t>
      </w:r>
      <w:r>
        <w:t xml:space="preserve"> </w:t>
      </w:r>
      <w:r>
        <w:rPr>
          <w:b/>
          <w:bCs/>
        </w:rPr>
        <w:t xml:space="preserve">3.5% yield</w:t>
      </w:r>
      <w:r>
        <w:t xml:space="preserve">.</w:t>
      </w:r>
    </w:p>
    <w:p>
      <w:pPr>
        <w:pStyle w:val="FirstParagraph"/>
      </w:pPr>
      <w:r>
        <w:t xml:space="preserve">At this price, buybacks are likely less obviously compelling than they were near $244. Investors should look for clarity on the mix of:</w:t>
      </w:r>
    </w:p>
    <w:p>
      <w:pPr>
        <w:pStyle w:val="Compact"/>
        <w:numPr>
          <w:ilvl w:val="0"/>
          <w:numId w:val="1006"/>
        </w:numPr>
      </w:pPr>
      <w:r>
        <w:t xml:space="preserve">share repurchases;</w:t>
      </w:r>
    </w:p>
    <w:p>
      <w:pPr>
        <w:pStyle w:val="Compact"/>
        <w:numPr>
          <w:ilvl w:val="0"/>
          <w:numId w:val="1006"/>
        </w:numPr>
      </w:pPr>
      <w:r>
        <w:t xml:space="preserve">selective acquisitions or land/development opportunities;</w:t>
      </w:r>
    </w:p>
    <w:p>
      <w:pPr>
        <w:pStyle w:val="Compact"/>
        <w:numPr>
          <w:ilvl w:val="0"/>
          <w:numId w:val="1006"/>
        </w:numPr>
      </w:pPr>
      <w:r>
        <w:t xml:space="preserve">dispositions;</w:t>
      </w:r>
    </w:p>
    <w:p>
      <w:pPr>
        <w:pStyle w:val="Compact"/>
        <w:numPr>
          <w:ilvl w:val="0"/>
          <w:numId w:val="1006"/>
        </w:numPr>
      </w:pPr>
      <w:r>
        <w:t xml:space="preserve">redevelopment and accessory-dwelling-unit projects; and</w:t>
      </w:r>
    </w:p>
    <w:p>
      <w:pPr>
        <w:pStyle w:val="Compact"/>
        <w:numPr>
          <w:ilvl w:val="0"/>
          <w:numId w:val="1006"/>
        </w:numPr>
      </w:pPr>
      <w:r>
        <w:t xml:space="preserve">disciplined structured-finance reinvestment.</w:t>
      </w:r>
    </w:p>
    <w:p>
      <w:pPr>
        <w:pStyle w:val="FirstParagraph"/>
      </w:pPr>
      <w:r>
        <w:t xml:space="preserve">The preferred-equity/structured-finance book remains a source of non-property earnings volatility. Management has indicated that the portfolio is becoming more manageable and that it intends to be more selective rather than pursue yield compression or weaker covenants. That is strategically sensible, but investors should watch for unexpected extensions, impairments, or further redemptions that alter FFO timing.</w:t>
      </w:r>
    </w:p>
    <w:bookmarkEnd w:id="18"/>
    <w:bookmarkStart w:id="19" w:name="valuation-and-market-expectations"/>
    <w:p>
      <w:pPr>
        <w:pStyle w:val="Heading2"/>
      </w:pPr>
      <w:r>
        <w:t xml:space="preserve">Valuation and market expectations</w:t>
      </w:r>
    </w:p>
    <w:p>
      <w:pPr>
        <w:pStyle w:val="FirstParagraph"/>
      </w:pPr>
      <w:r>
        <w:t xml:space="preserve">The stock’s move since the Q1 release raises the bar. The market appears to be giving ESS greater credit for:</w:t>
      </w:r>
    </w:p>
    <w:p>
      <w:pPr>
        <w:pStyle w:val="Compact"/>
        <w:numPr>
          <w:ilvl w:val="0"/>
          <w:numId w:val="1007"/>
        </w:numPr>
      </w:pPr>
      <w:r>
        <w:t xml:space="preserve">scarce West Coast apartment supply;</w:t>
      </w:r>
    </w:p>
    <w:p>
      <w:pPr>
        <w:pStyle w:val="Compact"/>
        <w:numPr>
          <w:ilvl w:val="0"/>
          <w:numId w:val="1007"/>
        </w:numPr>
      </w:pPr>
      <w:r>
        <w:t xml:space="preserve">accelerating Bay Area demand and AI-related employment;</w:t>
      </w:r>
    </w:p>
    <w:p>
      <w:pPr>
        <w:pStyle w:val="Compact"/>
        <w:numPr>
          <w:ilvl w:val="0"/>
          <w:numId w:val="1007"/>
        </w:numPr>
      </w:pPr>
      <w:r>
        <w:t xml:space="preserve">a potential Seattle recovery;</w:t>
      </w:r>
    </w:p>
    <w:p>
      <w:pPr>
        <w:pStyle w:val="Compact"/>
        <w:numPr>
          <w:ilvl w:val="0"/>
          <w:numId w:val="1007"/>
        </w:numPr>
      </w:pPr>
      <w:r>
        <w:t xml:space="preserve">a stabilizing LA portfolio; and</w:t>
      </w:r>
    </w:p>
    <w:p>
      <w:pPr>
        <w:pStyle w:val="Compact"/>
        <w:numPr>
          <w:ilvl w:val="0"/>
          <w:numId w:val="1007"/>
        </w:numPr>
      </w:pPr>
      <w:r>
        <w:t xml:space="preserve">a public/private valuation disconnect that could support NAV growth.</w:t>
      </w:r>
    </w:p>
    <w:p>
      <w:pPr>
        <w:pStyle w:val="FirstParagraph"/>
      </w:pPr>
      <w:r>
        <w:t xml:space="preserve">The dividend remains attractive, but the near-term investment case is increasingly tied to</w:t>
      </w:r>
      <w:r>
        <w:t xml:space="preserve"> </w:t>
      </w:r>
      <w:r>
        <w:rPr>
          <w:b/>
          <w:bCs/>
        </w:rPr>
        <w:t xml:space="preserve">growth delivery</w:t>
      </w:r>
      <w:r>
        <w:t xml:space="preserve">, not merely a discounted valuation or defensive income. A good-but-unchanged guide may therefore be insufficient for a major positive share reaction.</w:t>
      </w:r>
    </w:p>
    <w:bookmarkEnd w:id="19"/>
    <w:bookmarkStart w:id="20" w:name="bull-case"/>
    <w:p>
      <w:pPr>
        <w:pStyle w:val="Heading2"/>
      </w:pPr>
      <w:r>
        <w:t xml:space="preserve">Bull case</w:t>
      </w:r>
    </w:p>
    <w:p>
      <w:pPr>
        <w:pStyle w:val="Compact"/>
        <w:numPr>
          <w:ilvl w:val="0"/>
          <w:numId w:val="1008"/>
        </w:numPr>
      </w:pPr>
      <w:r>
        <w:t xml:space="preserve">Peak-season blended rent growth remains near or above May’s 3.7% pace.</w:t>
      </w:r>
    </w:p>
    <w:p>
      <w:pPr>
        <w:pStyle w:val="Compact"/>
        <w:numPr>
          <w:ilvl w:val="0"/>
          <w:numId w:val="1008"/>
        </w:numPr>
      </w:pPr>
      <w:r>
        <w:t xml:space="preserve">Northern California keeps outperforming, with improved growth broadening beyond a handful of submarkets.</w:t>
      </w:r>
    </w:p>
    <w:p>
      <w:pPr>
        <w:pStyle w:val="Compact"/>
        <w:numPr>
          <w:ilvl w:val="0"/>
          <w:numId w:val="1008"/>
        </w:numPr>
      </w:pPr>
      <w:r>
        <w:t xml:space="preserve">Seattle confirms positive pricing momentum as supply recedes.</w:t>
      </w:r>
    </w:p>
    <w:p>
      <w:pPr>
        <w:pStyle w:val="Compact"/>
        <w:numPr>
          <w:ilvl w:val="0"/>
          <w:numId w:val="1008"/>
        </w:numPr>
      </w:pPr>
      <w:r>
        <w:t xml:space="preserve">LA approaches the 95% economic-occupancy threshold, reducing the portfolio’s largest operating overhang.</w:t>
      </w:r>
    </w:p>
    <w:p>
      <w:pPr>
        <w:pStyle w:val="Compact"/>
        <w:numPr>
          <w:ilvl w:val="0"/>
          <w:numId w:val="1008"/>
        </w:numPr>
      </w:pPr>
      <w:r>
        <w:t xml:space="preserve">ESS raises same-property revenue and/or NOI guidance while maintaining full-year Core FFO.</w:t>
      </w:r>
    </w:p>
    <w:p>
      <w:pPr>
        <w:pStyle w:val="Compact"/>
        <w:numPr>
          <w:ilvl w:val="0"/>
          <w:numId w:val="1008"/>
        </w:numPr>
      </w:pPr>
      <w:r>
        <w:t xml:space="preserve">Capital allocation remains disciplined as private-market pricing stays strong.</w:t>
      </w:r>
    </w:p>
    <w:bookmarkEnd w:id="20"/>
    <w:bookmarkStart w:id="21" w:name="bear-case"/>
    <w:p>
      <w:pPr>
        <w:pStyle w:val="Heading2"/>
      </w:pPr>
      <w:r>
        <w:t xml:space="preserve">Bear case</w:t>
      </w:r>
    </w:p>
    <w:p>
      <w:pPr>
        <w:pStyle w:val="Compact"/>
        <w:numPr>
          <w:ilvl w:val="0"/>
          <w:numId w:val="1009"/>
        </w:numPr>
      </w:pPr>
      <w:r>
        <w:t xml:space="preserve">Management attributes strong Q2 results to seasonality but declines to increase full-year guidance.</w:t>
      </w:r>
    </w:p>
    <w:p>
      <w:pPr>
        <w:pStyle w:val="Compact"/>
        <w:numPr>
          <w:ilvl w:val="0"/>
          <w:numId w:val="1009"/>
        </w:numPr>
      </w:pPr>
      <w:r>
        <w:t xml:space="preserve">Northern California growth fades after the early peak leasing season or tech hiring shows signs of weakening.</w:t>
      </w:r>
    </w:p>
    <w:p>
      <w:pPr>
        <w:pStyle w:val="Compact"/>
        <w:numPr>
          <w:ilvl w:val="0"/>
          <w:numId w:val="1009"/>
        </w:numPr>
      </w:pPr>
      <w:r>
        <w:t xml:space="preserve">LA concessions and bad debt remain sticky, delaying pricing recovery.</w:t>
      </w:r>
    </w:p>
    <w:p>
      <w:pPr>
        <w:pStyle w:val="Compact"/>
        <w:numPr>
          <w:ilvl w:val="0"/>
          <w:numId w:val="1009"/>
        </w:numPr>
      </w:pPr>
      <w:r>
        <w:t xml:space="preserve">Expense timing reverses more sharply than expected in the second half.</w:t>
      </w:r>
    </w:p>
    <w:p>
      <w:pPr>
        <w:pStyle w:val="Compact"/>
        <w:numPr>
          <w:ilvl w:val="0"/>
          <w:numId w:val="1009"/>
        </w:numPr>
      </w:pPr>
      <w:r>
        <w:t xml:space="preserve">Structured-finance redemptions or troubled investments create incremental FFO pressure.</w:t>
      </w:r>
    </w:p>
    <w:p>
      <w:pPr>
        <w:pStyle w:val="Compact"/>
        <w:numPr>
          <w:ilvl w:val="0"/>
          <w:numId w:val="1009"/>
        </w:numPr>
      </w:pPr>
      <w:r>
        <w:t xml:space="preserve">With the share price substantially higher, buybacks lose accretion and private acquisitions remain negatively leveraged.</w:t>
      </w:r>
    </w:p>
    <w:bookmarkEnd w:id="21"/>
    <w:bookmarkStart w:id="22" w:name="bottom-line"/>
    <w:p>
      <w:pPr>
        <w:pStyle w:val="Heading2"/>
      </w:pPr>
      <w:r>
        <w:t xml:space="preserve">Bottom line</w:t>
      </w:r>
    </w:p>
    <w:p>
      <w:pPr>
        <w:pStyle w:val="FirstParagraph"/>
      </w:pPr>
      <w:r>
        <w:rPr>
          <w:b/>
          <w:bCs/>
        </w:rPr>
        <w:t xml:space="preserve">ESS is entering 2Q with favorable operating momentum but a higher valuation hurdle.</w:t>
      </w:r>
      <w:r>
        <w:t xml:space="preserve"> </w:t>
      </w:r>
      <w:r>
        <w:t xml:space="preserve">The report should be judged chiefly on the sustainability of leasing strength and the degree of confidence management shows in raising same-property revenue expectations. Northern California and Seattle can support upside; LA needs to demonstrate continued stabilization rather than become a drag; and the capital-allocation discussion should reveal whether management still sees attractive per-share accretion after the stock’s rally.</w:t>
      </w:r>
    </w:p>
    <w:p>
      <w:pPr>
        <w:pStyle w:val="BodyText"/>
      </w:pPr>
      <w:r>
        <w:t xml:space="preserve">The most important line to watch is not headline FFO alone—it is</w:t>
      </w:r>
      <w:r>
        <w:t xml:space="preserve"> </w:t>
      </w:r>
      <w:r>
        <w:rPr>
          <w:b/>
          <w:bCs/>
        </w:rPr>
        <w:t xml:space="preserve">full-year same-property revenue guidance and the leasing assumptions behind it</w:t>
      </w:r>
      <w:r>
        <w:t xml:space="preserve">.</w:t>
      </w:r>
    </w:p>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nvestors.essexapartmenthomes.com/investors/financials/quarterly-results/default.aspx?utm_source=openai" TargetMode="External" /><Relationship Type="http://schemas.openxmlformats.org/officeDocument/2006/relationships/hyperlink" Id="rId12" Target="https://www.sec.gov/Archives/edgar/data/920522/000114036126017477/ef20071359_ex99-1.htm?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investors.essexapartmenthomes.com/investors/financials/quarterly-results/default.aspx?utm_source=openai" TargetMode="External" /><Relationship Type="http://schemas.openxmlformats.org/officeDocument/2006/relationships/hyperlink" Id="rId12" Target="https://www.sec.gov/Archives/edgar/data/920522/000114036126017477/ef20071359_ex99-1.htm?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2026-07-29T01:58:41Z</dcterms:created>
  <dcterms:modified xsi:type="dcterms:W3CDTF">2026-07-29T01:58:41Z</dcterms:modified>
</cp:coreProperties>
</file>

<file path=docProps/custom.xml><?xml version="1.0" encoding="utf-8"?>
<Properties xmlns="http://schemas.openxmlformats.org/officeDocument/2006/custom-properties" xmlns:vt="http://schemas.openxmlformats.org/officeDocument/2006/docPropsVTypes"/>
</file>