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Essex Property Trust (ESS)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Essex Property Trust, Inc.</w:t>
            </w:r>
          </w:p>
        </w:tc>
        <w:tc>
          <w:tcPr>
            <w:tcW w:type="dxa" w:w="2160"/>
          </w:tcPr>
          <w:p>
            <w:r>
              <w:rPr>
                <w:rFonts w:ascii="Calibri" w:hAnsi="Calibri"/>
                <w:b/>
                <w:sz w:val="22"/>
              </w:rPr>
              <w:t>Earnings Date</w:t>
            </w:r>
          </w:p>
        </w:tc>
        <w:tc>
          <w:tcPr>
            <w:tcW w:type="dxa" w:w="2160"/>
          </w:tcPr>
          <w:p>
            <w:r>
              <w:rPr>
                <w:rFonts w:ascii="Calibri" w:hAnsi="Calibri"/>
                <w:sz w:val="22"/>
              </w:rPr>
              <w:t>July 29, 2026 (After Market Close)</w:t>
            </w:r>
          </w:p>
        </w:tc>
      </w:tr>
      <w:tr>
        <w:tc>
          <w:tcPr>
            <w:tcW w:type="dxa" w:w="2160"/>
          </w:tcPr>
          <w:p>
            <w:r>
              <w:rPr>
                <w:rFonts w:ascii="Calibri" w:hAnsi="Calibri"/>
                <w:b/>
                <w:sz w:val="22"/>
              </w:rPr>
              <w:t>Ticker</w:t>
            </w:r>
          </w:p>
        </w:tc>
        <w:tc>
          <w:tcPr>
            <w:tcW w:type="dxa" w:w="2160"/>
          </w:tcPr>
          <w:p>
            <w:r>
              <w:rPr>
                <w:rFonts w:ascii="Calibri" w:hAnsi="Calibri"/>
                <w:sz w:val="22"/>
              </w:rPr>
              <w:t>ESS (NYSE)</w:t>
            </w:r>
          </w:p>
        </w:tc>
        <w:tc>
          <w:tcPr>
            <w:tcW w:type="dxa" w:w="2160"/>
          </w:tcPr>
          <w:p>
            <w:r>
              <w:rPr>
                <w:rFonts w:ascii="Calibri" w:hAnsi="Calibri"/>
                <w:b/>
                <w:sz w:val="22"/>
              </w:rPr>
              <w:t>Conference Call</w:t>
            </w:r>
          </w:p>
        </w:tc>
        <w:tc>
          <w:tcPr>
            <w:tcW w:type="dxa" w:w="2160"/>
          </w:tcPr>
          <w:p>
            <w:r>
              <w:rPr>
                <w:rFonts w:ascii="Calibri" w:hAnsi="Calibri"/>
                <w:sz w:val="22"/>
              </w:rPr>
              <w:t>July 30, 2026 at 2:00 PM ET</w:t>
            </w:r>
          </w:p>
        </w:tc>
      </w:tr>
      <w:tr>
        <w:tc>
          <w:tcPr>
            <w:tcW w:type="dxa" w:w="2160"/>
          </w:tcPr>
          <w:p>
            <w:r>
              <w:rPr>
                <w:rFonts w:ascii="Calibri" w:hAnsi="Calibri"/>
                <w:b/>
                <w:sz w:val="22"/>
              </w:rPr>
              <w:t>Reporting Period</w:t>
            </w:r>
          </w:p>
        </w:tc>
        <w:tc>
          <w:tcPr>
            <w:tcW w:type="dxa" w:w="2160"/>
          </w:tcPr>
          <w:p>
            <w:r>
              <w:rPr>
                <w:rFonts w:ascii="Calibri" w:hAnsi="Calibri"/>
                <w:sz w:val="22"/>
              </w:rPr>
              <w:t>Q2 2026 (June 30, 2026)</w:t>
            </w:r>
          </w:p>
        </w:tc>
        <w:tc>
          <w:tcPr>
            <w:tcW w:type="dxa" w:w="2160"/>
          </w:tcPr>
          <w:p>
            <w:r>
              <w:rPr>
                <w:rFonts w:ascii="Calibri" w:hAnsi="Calibri"/>
                <w:b/>
                <w:sz w:val="22"/>
              </w:rPr>
              <w:t>Prepared</w:t>
            </w:r>
          </w:p>
        </w:tc>
        <w:tc>
          <w:tcPr>
            <w:tcW w:type="dxa" w:w="2160"/>
          </w:tcPr>
          <w:p>
            <w:r>
              <w:rPr>
                <w:rFonts w:ascii="Calibri" w:hAnsi="Calibri"/>
                <w:sz w:val="22"/>
              </w:rPr>
              <w:t>July 28, 2026</w:t>
            </w:r>
          </w:p>
        </w:tc>
      </w:tr>
      <w:tr>
        <w:tc>
          <w:tcPr>
            <w:tcW w:type="dxa" w:w="2160"/>
          </w:tcPr>
          <w:p>
            <w:r>
              <w:rPr>
                <w:rFonts w:ascii="Calibri" w:hAnsi="Calibri"/>
                <w:b/>
                <w:sz w:val="22"/>
              </w:rPr>
              <w:t>Sector</w:t>
            </w:r>
          </w:p>
        </w:tc>
        <w:tc>
          <w:tcPr>
            <w:tcW w:type="dxa" w:w="2160"/>
          </w:tcPr>
          <w:p>
            <w:r>
              <w:rPr>
                <w:rFonts w:ascii="Calibri" w:hAnsi="Calibri"/>
                <w:sz w:val="22"/>
              </w:rPr>
              <w:t>REIT — Residential (Multifamily)</w:t>
            </w:r>
          </w:p>
        </w:tc>
        <w:tc>
          <w:tcPr>
            <w:tcW w:type="dxa" w:w="2160"/>
          </w:tcPr>
          <w:p>
            <w:r>
              <w:rPr>
                <w:rFonts w:ascii="Calibri" w:hAnsi="Calibri"/>
                <w:b/>
                <w:sz w:val="22"/>
              </w:rPr>
              <w:t>Primary Valuation KPI</w:t>
            </w:r>
          </w:p>
        </w:tc>
        <w:tc>
          <w:tcPr>
            <w:tcW w:type="dxa" w:w="2160"/>
          </w:tcPr>
          <w:p>
            <w:r>
              <w:rPr>
                <w:rFonts w:ascii="Calibri" w:hAnsi="Calibri"/>
                <w:sz w:val="22"/>
              </w:rPr>
              <w:t>Core FFO per Share (Diluted)</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Setup skews to a beat — consensus for Q2 Core FFO ($4.04/share) sits above the guidance midpoint ($3.98), but ESS has a strong track record of outperformance and management confirmed at the June REITweek conference that the portfolio was </w:t>
      </w:r>
      <w:r>
        <w:rPr>
          <w:rFonts w:ascii="Calibri" w:hAnsi="Calibri"/>
          <w:b/>
          <w:color w:val="30A46C"/>
          <w:sz w:val="22"/>
        </w:rPr>
        <w:t>trending ahead of guidance</w:t>
      </w:r>
      <w:r>
        <w:rPr>
          <w:rFonts w:ascii="Calibri" w:hAnsi="Calibri"/>
          <w:b/>
          <w:color w:val="525866"/>
          <w:sz w:val="22"/>
        </w:rPr>
        <w:t>; the biggest swing factor is whether peak-season blended lease rates (3.7% in May) hold or accelerate into June, and whether management finally raises full-year guidance.</w:t>
      </w:r>
    </w:p>
    <w:p>
      <w:r>
        <w:rPr>
          <w:rFonts w:ascii="Calibri" w:hAnsi="Calibri"/>
          <w:color w:val="525866"/>
          <w:sz w:val="22"/>
        </w:rPr>
        <w:t xml:space="preserve">Heading into Q2 2026 results, the bar is achievable but not low: consensus Core FFO of ~$4.04/share sits modestly above the $3.98 guidance midpoint, implying the Street has already baked in a small beat relative to management's own range. </w:t>
      </w:r>
      <w:r>
        <w:rPr>
          <w:rFonts w:ascii="Calibri" w:hAnsi="Calibri"/>
          <w:color w:val="525866"/>
          <w:sz w:val="22"/>
        </w:rPr>
        <w:t>Management's tone has shifted meaningfully more constructive since the Q1 print</w:t>
      </w:r>
      <w:r>
        <w:rPr>
          <w:rFonts w:ascii="Calibri" w:hAnsi="Calibri"/>
          <w:color w:val="525866"/>
          <w:sz w:val="22"/>
        </w:rPr>
        <w:t xml:space="preserve"> — at the June REITweek conference, ESS confirmed blended lease rates accelerated to 3.7% in May (from 3.1% in April and 1.4% in Q1), with the portfolio tracking ahead of guidance across all three regions. Estimate revisions have been modest and directionally positive, with Q2 consensus Core FFO edging up from $4.04 to $4.04 (essentially flat) and full-year 2026 consensus at $16.11 vs. the $15.94 guidance midpoint — a gap that represents cushion rather than risk if peak leasing season delivers. </w:t>
      </w:r>
      <w:r>
        <w:rPr>
          <w:rFonts w:ascii="Calibri" w:hAnsi="Calibri"/>
          <w:color w:val="525866"/>
          <w:sz w:val="22"/>
        </w:rPr>
        <w:t>The stock has outperformed meaningfully since Q1 earnings (+9.9% vs. VNQ +5.5% and SPY +4.1%)</w:t>
      </w:r>
      <w:r>
        <w:rPr>
          <w:rFonts w:ascii="Calibri" w:hAnsi="Calibri"/>
          <w:color w:val="525866"/>
          <w:sz w:val="22"/>
        </w:rPr>
        <w:t xml:space="preserve">, suggesting the market has partially priced in improving fundamentals, though ESS still trades at a discount to private market cap rates (mid-5% implied vs. sub-5% private), leaving valuation upside if management raises guidance. The key wildcard is </w:t>
      </w:r>
      <w:r>
        <w:rPr>
          <w:rFonts w:ascii="Calibri" w:hAnsi="Calibri"/>
          <w:color w:val="525866"/>
          <w:sz w:val="22"/>
        </w:rPr>
        <w:t>Los Angeles</w:t>
      </w:r>
      <w:r>
        <w:rPr>
          <w:rFonts w:ascii="Calibri" w:hAnsi="Calibri"/>
          <w:color w:val="525866"/>
          <w:sz w:val="22"/>
        </w:rPr>
        <w:t xml:space="preserve"> — economic occupancy at 94.5% is tantalizingly close to the ~95% threshold for pricing power, and any signal that LA is inflecting (or failing to) will drive the stock reaction more than the headline FFO number.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 Core FFO estimates sit above the guidance midpoint, implying the Street expects a beat, but the bigger swing factor is blended lease rate growth, where consensus of ~3.1% for Q2 could prove conservative given May's 3.7% print and accelerating Northern California momentum.</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Core FFO per Share — Diluted ($)</w:t>
            </w:r>
          </w:p>
        </w:tc>
        <w:tc>
          <w:tcPr>
            <w:tcW w:type="dxa" w:w="1234"/>
          </w:tcPr>
          <w:p>
            <w:r>
              <w:rPr>
                <w:rFonts w:ascii="Calibri" w:hAnsi="Calibri"/>
                <w:sz w:val="22"/>
              </w:rPr>
              <w:t>$4.06</w:t>
            </w:r>
          </w:p>
        </w:tc>
        <w:tc>
          <w:tcPr>
            <w:tcW w:type="dxa" w:w="1234"/>
          </w:tcPr>
          <w:p>
            <w:r>
              <w:rPr>
                <w:rFonts w:ascii="Calibri" w:hAnsi="Calibri"/>
                <w:sz w:val="22"/>
              </w:rPr>
              <w:t>$4.03</w:t>
            </w:r>
          </w:p>
        </w:tc>
        <w:tc>
          <w:tcPr>
            <w:tcW w:type="dxa" w:w="1234"/>
          </w:tcPr>
          <w:p>
            <w:r>
              <w:rPr>
                <w:rFonts w:ascii="Calibri" w:hAnsi="Calibri"/>
                <w:sz w:val="22"/>
              </w:rPr>
              <w:t>$4.04</w:t>
            </w:r>
          </w:p>
        </w:tc>
        <w:tc>
          <w:tcPr>
            <w:tcW w:type="dxa" w:w="1234"/>
          </w:tcPr>
          <w:p>
            <w:r>
              <w:rPr>
                <w:rFonts w:ascii="Calibri" w:hAnsi="Calibri"/>
                <w:sz w:val="22"/>
              </w:rPr>
              <w:t>+0.2% YoY</w:t>
            </w:r>
          </w:p>
        </w:tc>
        <w:tc>
          <w:tcPr>
            <w:tcW w:type="dxa" w:w="1234"/>
          </w:tcPr>
          <w:p>
            <w:r>
              <w:rPr>
                <w:rFonts w:ascii="Calibri" w:hAnsi="Calibri"/>
                <w:sz w:val="22"/>
              </w:rPr>
              <w:t>$3.92–$4.04 (mid: $3.98)</w:t>
            </w:r>
          </w:p>
        </w:tc>
        <w:tc>
          <w:tcPr>
            <w:tcW w:type="dxa" w:w="1234"/>
          </w:tcPr>
          <w:p>
            <w:r>
              <w:rPr>
                <w:rFonts w:ascii="Calibri" w:hAnsi="Calibri"/>
                <w:sz w:val="22"/>
              </w:rPr>
              <w:t>+1.5% above mid</w:t>
            </w:r>
          </w:p>
        </w:tc>
      </w:tr>
      <w:tr>
        <w:tc>
          <w:tcPr>
            <w:tcW w:type="dxa" w:w="1234"/>
          </w:tcPr>
          <w:p>
            <w:r>
              <w:rPr>
                <w:rFonts w:ascii="Calibri" w:hAnsi="Calibri"/>
                <w:sz w:val="22"/>
              </w:rPr>
              <w:t>Same-Store Revenue Growth YoY (%)</w:t>
            </w:r>
          </w:p>
        </w:tc>
        <w:tc>
          <w:tcPr>
            <w:tcW w:type="dxa" w:w="1234"/>
          </w:tcPr>
          <w:p>
            <w:r>
              <w:rPr>
                <w:rFonts w:ascii="Calibri" w:hAnsi="Calibri"/>
                <w:sz w:val="22"/>
              </w:rPr>
              <w:t>2.9%</w:t>
            </w:r>
          </w:p>
        </w:tc>
        <w:tc>
          <w:tcPr>
            <w:tcW w:type="dxa" w:w="1234"/>
          </w:tcPr>
          <w:p>
            <w:r>
              <w:rPr>
                <w:rFonts w:ascii="Calibri" w:hAnsi="Calibri"/>
                <w:sz w:val="22"/>
              </w:rPr>
              <w:t>3.2%</w:t>
            </w:r>
          </w:p>
        </w:tc>
        <w:tc>
          <w:tcPr>
            <w:tcW w:type="dxa" w:w="1234"/>
          </w:tcPr>
          <w:p>
            <w:r>
              <w:rPr>
                <w:rFonts w:ascii="Calibri" w:hAnsi="Calibri"/>
                <w:sz w:val="22"/>
              </w:rPr>
              <w:t>2.58%</w:t>
            </w:r>
          </w:p>
        </w:tc>
        <w:tc>
          <w:tcPr>
            <w:tcW w:type="dxa" w:w="1234"/>
          </w:tcPr>
          <w:p>
            <w:r>
              <w:rPr>
                <w:rFonts w:ascii="Calibri" w:hAnsi="Calibri"/>
                <w:sz w:val="22"/>
              </w:rPr>
              <w:t>−60 bps YoY</w:t>
            </w:r>
          </w:p>
        </w:tc>
        <w:tc>
          <w:tcPr>
            <w:tcW w:type="dxa" w:w="1234"/>
          </w:tcPr>
          <w:p>
            <w:r>
              <w:rPr>
                <w:rFonts w:ascii="Calibri" w:hAnsi="Calibri"/>
                <w:sz w:val="22"/>
              </w:rPr>
              <w:t>1.70%–3.10% (mid: 2.40%) full-year</w:t>
            </w:r>
          </w:p>
        </w:tc>
        <w:tc>
          <w:tcPr>
            <w:tcW w:type="dxa" w:w="1234"/>
          </w:tcPr>
          <w:p>
            <w:r>
              <w:rPr>
                <w:rFonts w:ascii="Calibri" w:hAnsi="Calibri"/>
                <w:sz w:val="22"/>
              </w:rPr>
              <w:t>+18 bps above FY mid</w:t>
            </w:r>
          </w:p>
        </w:tc>
      </w:tr>
      <w:tr>
        <w:tc>
          <w:tcPr>
            <w:tcW w:type="dxa" w:w="1234"/>
          </w:tcPr>
          <w:p>
            <w:r>
              <w:rPr>
                <w:rFonts w:ascii="Calibri" w:hAnsi="Calibri"/>
                <w:sz w:val="22"/>
              </w:rPr>
              <w:t>Same-Store NOI Growth YoY (%)</w:t>
            </w:r>
          </w:p>
        </w:tc>
        <w:tc>
          <w:tcPr>
            <w:tcW w:type="dxa" w:w="1234"/>
          </w:tcPr>
          <w:p>
            <w:r>
              <w:rPr>
                <w:rFonts w:ascii="Calibri" w:hAnsi="Calibri"/>
                <w:sz w:val="22"/>
              </w:rPr>
              <w:t>4.1%</w:t>
            </w:r>
          </w:p>
        </w:tc>
        <w:tc>
          <w:tcPr>
            <w:tcW w:type="dxa" w:w="1234"/>
          </w:tcPr>
          <w:p>
            <w:r>
              <w:rPr>
                <w:rFonts w:ascii="Calibri" w:hAnsi="Calibri"/>
                <w:sz w:val="22"/>
              </w:rPr>
              <w:t>3.3%</w:t>
            </w:r>
          </w:p>
        </w:tc>
        <w:tc>
          <w:tcPr>
            <w:tcW w:type="dxa" w:w="1234"/>
          </w:tcPr>
          <w:p>
            <w:r>
              <w:rPr>
                <w:rFonts w:ascii="Calibri" w:hAnsi="Calibri"/>
                <w:sz w:val="22"/>
              </w:rPr>
              <w:t>2.27%</w:t>
            </w:r>
          </w:p>
        </w:tc>
        <w:tc>
          <w:tcPr>
            <w:tcW w:type="dxa" w:w="1234"/>
          </w:tcPr>
          <w:p>
            <w:r>
              <w:rPr>
                <w:rFonts w:ascii="Calibri" w:hAnsi="Calibri"/>
                <w:sz w:val="22"/>
              </w:rPr>
              <w:t>−103 bps YoY</w:t>
            </w:r>
          </w:p>
        </w:tc>
        <w:tc>
          <w:tcPr>
            <w:tcW w:type="dxa" w:w="1234"/>
          </w:tcPr>
          <w:p>
            <w:r>
              <w:rPr>
                <w:rFonts w:ascii="Calibri" w:hAnsi="Calibri"/>
                <w:sz w:val="22"/>
              </w:rPr>
              <w:t>FY mid: 2.20% (GAAP)</w:t>
            </w:r>
          </w:p>
        </w:tc>
        <w:tc>
          <w:tcPr>
            <w:tcW w:type="dxa" w:w="1234"/>
          </w:tcPr>
          <w:p>
            <w:r>
              <w:rPr>
                <w:rFonts w:ascii="Calibri" w:hAnsi="Calibri"/>
                <w:sz w:val="22"/>
              </w:rPr>
              <w:t>+7 bps above FY mid</w:t>
            </w:r>
          </w:p>
        </w:tc>
      </w:tr>
      <w:tr>
        <w:tc>
          <w:tcPr>
            <w:tcW w:type="dxa" w:w="1234"/>
          </w:tcPr>
          <w:p>
            <w:r>
              <w:rPr>
                <w:rFonts w:ascii="Calibri" w:hAnsi="Calibri"/>
                <w:sz w:val="22"/>
              </w:rPr>
              <w:t>Same-Store Occupancy (%)</w:t>
            </w:r>
          </w:p>
        </w:tc>
        <w:tc>
          <w:tcPr>
            <w:tcW w:type="dxa" w:w="1234"/>
          </w:tcPr>
          <w:p>
            <w:r>
              <w:rPr>
                <w:rFonts w:ascii="Calibri" w:hAnsi="Calibri"/>
                <w:sz w:val="22"/>
              </w:rPr>
              <w:t>96.5%</w:t>
            </w:r>
          </w:p>
        </w:tc>
        <w:tc>
          <w:tcPr>
            <w:tcW w:type="dxa" w:w="1234"/>
          </w:tcPr>
          <w:p>
            <w:r>
              <w:rPr>
                <w:rFonts w:ascii="Calibri" w:hAnsi="Calibri"/>
                <w:sz w:val="22"/>
              </w:rPr>
              <w:t>96.2%</w:t>
            </w:r>
          </w:p>
        </w:tc>
        <w:tc>
          <w:tcPr>
            <w:tcW w:type="dxa" w:w="1234"/>
          </w:tcPr>
          <w:p>
            <w:r>
              <w:rPr>
                <w:rFonts w:ascii="Calibri" w:hAnsi="Calibri"/>
                <w:sz w:val="22"/>
              </w:rPr>
              <w:t>96.36%</w:t>
            </w:r>
          </w:p>
        </w:tc>
        <w:tc>
          <w:tcPr>
            <w:tcW w:type="dxa" w:w="1234"/>
          </w:tcPr>
          <w:p>
            <w:r>
              <w:rPr>
                <w:rFonts w:ascii="Calibri" w:hAnsi="Calibri"/>
                <w:sz w:val="22"/>
              </w:rPr>
              <w:t>+16 bps YoY</w:t>
            </w:r>
          </w:p>
        </w:tc>
        <w:tc>
          <w:tcPr>
            <w:tcW w:type="dxa" w:w="1234"/>
          </w:tcPr>
          <w:p>
            <w:r>
              <w:rPr>
                <w:rFonts w:ascii="Calibri" w:hAnsi="Calibri"/>
                <w:sz w:val="22"/>
              </w:rPr>
              <w:t>N/A — no specific Q2 guidance</w:t>
            </w:r>
          </w:p>
        </w:tc>
        <w:tc>
          <w:tcPr>
            <w:tcW w:type="dxa" w:w="1234"/>
          </w:tcPr>
          <w:p>
            <w:r>
              <w:rPr>
                <w:rFonts w:ascii="Calibri" w:hAnsi="Calibri"/>
                <w:sz w:val="22"/>
              </w:rPr>
              <w:t>N/A</w:t>
            </w:r>
          </w:p>
        </w:tc>
      </w:tr>
      <w:tr>
        <w:tc>
          <w:tcPr>
            <w:tcW w:type="dxa" w:w="1234"/>
          </w:tcPr>
          <w:p>
            <w:r>
              <w:rPr>
                <w:rFonts w:ascii="Calibri" w:hAnsi="Calibri"/>
                <w:sz w:val="22"/>
              </w:rPr>
              <w:t>Effective Blended Lease Rate — Same Store (%)</w:t>
            </w:r>
          </w:p>
        </w:tc>
        <w:tc>
          <w:tcPr>
            <w:tcW w:type="dxa" w:w="1234"/>
          </w:tcPr>
          <w:p>
            <w:r>
              <w:rPr>
                <w:rFonts w:ascii="Calibri" w:hAnsi="Calibri"/>
                <w:sz w:val="22"/>
              </w:rPr>
              <w:t>1.4%</w:t>
            </w:r>
          </w:p>
        </w:tc>
        <w:tc>
          <w:tcPr>
            <w:tcW w:type="dxa" w:w="1234"/>
          </w:tcPr>
          <w:p>
            <w:r>
              <w:rPr>
                <w:rFonts w:ascii="Calibri" w:hAnsi="Calibri"/>
                <w:sz w:val="22"/>
              </w:rPr>
              <w:t>3.8%</w:t>
            </w:r>
          </w:p>
        </w:tc>
        <w:tc>
          <w:tcPr>
            <w:tcW w:type="dxa" w:w="1234"/>
          </w:tcPr>
          <w:p>
            <w:r>
              <w:rPr>
                <w:rFonts w:ascii="Calibri" w:hAnsi="Calibri"/>
                <w:sz w:val="22"/>
              </w:rPr>
              <w:t>3.06%</w:t>
            </w:r>
          </w:p>
        </w:tc>
        <w:tc>
          <w:tcPr>
            <w:tcW w:type="dxa" w:w="1234"/>
          </w:tcPr>
          <w:p>
            <w:r>
              <w:rPr>
                <w:rFonts w:ascii="Calibri" w:hAnsi="Calibri"/>
                <w:sz w:val="22"/>
              </w:rPr>
              <w:t>−174 bps YoY (tough comp)</w:t>
            </w:r>
          </w:p>
        </w:tc>
        <w:tc>
          <w:tcPr>
            <w:tcW w:type="dxa" w:w="1234"/>
          </w:tcPr>
          <w:p>
            <w:r>
              <w:rPr>
                <w:rFonts w:ascii="Calibri" w:hAnsi="Calibri"/>
                <w:sz w:val="22"/>
              </w:rPr>
              <w:t>FY: ~2.5% blended (new/renewal mix)</w:t>
            </w:r>
          </w:p>
        </w:tc>
        <w:tc>
          <w:tcPr>
            <w:tcW w:type="dxa" w:w="1234"/>
          </w:tcPr>
          <w:p>
            <w:r>
              <w:rPr>
                <w:rFonts w:ascii="Calibri" w:hAnsi="Calibri"/>
                <w:sz w:val="22"/>
              </w:rPr>
              <w:t>N/A — no Q2-specific range</w:t>
            </w:r>
          </w:p>
        </w:tc>
      </w:tr>
      <w:tr>
        <w:tc>
          <w:tcPr>
            <w:tcW w:type="dxa" w:w="1234"/>
          </w:tcPr>
          <w:p>
            <w:r>
              <w:rPr>
                <w:rFonts w:ascii="Calibri" w:hAnsi="Calibri"/>
                <w:sz w:val="22"/>
              </w:rPr>
              <w:t>Same-Store Expense Growth YoY (%)</w:t>
            </w:r>
          </w:p>
        </w:tc>
        <w:tc>
          <w:tcPr>
            <w:tcW w:type="dxa" w:w="1234"/>
          </w:tcPr>
          <w:p>
            <w:r>
              <w:rPr>
                <w:rFonts w:ascii="Calibri" w:hAnsi="Calibri"/>
                <w:sz w:val="22"/>
              </w:rPr>
              <w:t>0.2% (timing benefit; expected to reverse H2)</w:t>
            </w:r>
          </w:p>
        </w:tc>
        <w:tc>
          <w:tcPr>
            <w:tcW w:type="dxa" w:w="1234"/>
          </w:tcPr>
          <w:p>
            <w:r>
              <w:rPr>
                <w:rFonts w:ascii="Calibri" w:hAnsi="Calibri"/>
                <w:sz w:val="22"/>
              </w:rPr>
              <w:t>2.9%</w:t>
            </w:r>
          </w:p>
        </w:tc>
        <w:tc>
          <w:tcPr>
            <w:tcW w:type="dxa" w:w="1234"/>
          </w:tcPr>
          <w:p>
            <w:r>
              <w:rPr>
                <w:rFonts w:ascii="Calibri" w:hAnsi="Calibri"/>
                <w:sz w:val="22"/>
              </w:rPr>
              <w:t>3.68%</w:t>
            </w:r>
          </w:p>
        </w:tc>
        <w:tc>
          <w:tcPr>
            <w:tcW w:type="dxa" w:w="1234"/>
          </w:tcPr>
          <w:p>
            <w:r>
              <w:rPr>
                <w:rFonts w:ascii="Calibri" w:hAnsi="Calibri"/>
                <w:sz w:val="22"/>
              </w:rPr>
              <w:t>+78 bps YoY</w:t>
            </w:r>
          </w:p>
        </w:tc>
        <w:tc>
          <w:tcPr>
            <w:tcW w:type="dxa" w:w="1234"/>
          </w:tcPr>
          <w:p>
            <w:r>
              <w:rPr>
                <w:rFonts w:ascii="Calibri" w:hAnsi="Calibri"/>
                <w:sz w:val="22"/>
              </w:rPr>
              <w:t>FY mid: ~2.73%</w:t>
            </w:r>
          </w:p>
        </w:tc>
        <w:tc>
          <w:tcPr>
            <w:tcW w:type="dxa" w:w="1234"/>
          </w:tcPr>
          <w:p>
            <w:r>
              <w:rPr>
                <w:rFonts w:ascii="Calibri" w:hAnsi="Calibri"/>
                <w:sz w:val="22"/>
              </w:rPr>
              <w:t>+95 bps above FY mid</w:t>
            </w:r>
          </w:p>
        </w:tc>
      </w:tr>
    </w:tbl>
    <w:p>
      <w:r>
        <w:rPr>
          <w:rFonts w:ascii="Calibri" w:hAnsi="Calibri"/>
          <w:i/>
          <w:color w:val="525866"/>
          <w:sz w:val="22"/>
        </w:rPr>
        <w:t>Source: Visible Alpha Consensus and Actuals Data; ESS Q1 2026 Earnings Release (April 28, 2026). Note: Q2 2026 guidance provided at Q1 2026 earnings call. Same-store expense growth consensus for Q2 2026 is elevated vs. FY guidance midpoint, consistent with management's Q1 commentary that the Q1 expense timing benefit would reverse in H2.</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Core FFO per Share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$4.06</w:t>
            </w:r>
          </w:p>
        </w:tc>
        <w:tc>
          <w:tcPr>
            <w:tcW w:type="dxa" w:w="1728"/>
          </w:tcPr>
          <w:p>
            <w:r>
              <w:rPr>
                <w:rFonts w:ascii="Calibri" w:hAnsi="Calibri"/>
                <w:sz w:val="22"/>
              </w:rPr>
              <w:t>$3.96</w:t>
            </w:r>
          </w:p>
        </w:tc>
        <w:tc>
          <w:tcPr>
            <w:tcW w:type="dxa" w:w="1728"/>
          </w:tcPr>
          <w:p>
            <w:r>
              <w:rPr>
                <w:rFonts w:ascii="Calibri" w:hAnsi="Calibri"/>
                <w:b/>
                <w:color w:val="30A46C"/>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$3.98</w:t>
            </w:r>
          </w:p>
        </w:tc>
        <w:tc>
          <w:tcPr>
            <w:tcW w:type="dxa" w:w="1728"/>
          </w:tcPr>
          <w:p>
            <w:r>
              <w:rPr>
                <w:rFonts w:ascii="Calibri" w:hAnsi="Calibri"/>
                <w:sz w:val="22"/>
              </w:rPr>
              <w:t>$4.00</w:t>
            </w:r>
          </w:p>
        </w:tc>
        <w:tc>
          <w:tcPr>
            <w:tcW w:type="dxa" w:w="1728"/>
          </w:tcPr>
          <w:p>
            <w:r>
              <w:rPr>
                <w:rFonts w:ascii="Calibri" w:hAnsi="Calibri"/>
                <w:b/>
                <w:color w:val="E5484D"/>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$3.97</w:t>
            </w:r>
          </w:p>
        </w:tc>
        <w:tc>
          <w:tcPr>
            <w:tcW w:type="dxa" w:w="1728"/>
          </w:tcPr>
          <w:p>
            <w:r>
              <w:rPr>
                <w:rFonts w:ascii="Calibri" w:hAnsi="Calibri"/>
                <w:sz w:val="22"/>
              </w:rPr>
              <w:t>$3.95</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$4.03</w:t>
            </w:r>
          </w:p>
        </w:tc>
        <w:tc>
          <w:tcPr>
            <w:tcW w:type="dxa" w:w="1728"/>
          </w:tcPr>
          <w:p>
            <w:r>
              <w:rPr>
                <w:rFonts w:ascii="Calibri" w:hAnsi="Calibri"/>
                <w:sz w:val="22"/>
              </w:rPr>
              <w:t>$3.98</w:t>
            </w:r>
          </w:p>
        </w:tc>
        <w:tc>
          <w:tcPr>
            <w:tcW w:type="dxa" w:w="1728"/>
          </w:tcPr>
          <w:p>
            <w:r>
              <w:rPr>
                <w:rFonts w:ascii="Calibri" w:hAnsi="Calibri"/>
                <w:b/>
                <w:color w:val="30A46C"/>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$3.97</w:t>
            </w:r>
          </w:p>
        </w:tc>
        <w:tc>
          <w:tcPr>
            <w:tcW w:type="dxa" w:w="1728"/>
          </w:tcPr>
          <w:p>
            <w:r>
              <w:rPr>
                <w:rFonts w:ascii="Calibri" w:hAnsi="Calibri"/>
                <w:sz w:val="22"/>
              </w:rPr>
              <w:t>$3.92</w:t>
            </w:r>
          </w:p>
        </w:tc>
        <w:tc>
          <w:tcPr>
            <w:tcW w:type="dxa" w:w="1728"/>
          </w:tcPr>
          <w:p>
            <w:r>
              <w:rPr>
                <w:rFonts w:ascii="Calibri" w:hAnsi="Calibri"/>
                <w:b/>
                <w:color w:val="30A46C"/>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$3.92</w:t>
            </w:r>
          </w:p>
        </w:tc>
        <w:tc>
          <w:tcPr>
            <w:tcW w:type="dxa" w:w="1728"/>
          </w:tcPr>
          <w:p>
            <w:r>
              <w:rPr>
                <w:rFonts w:ascii="Calibri" w:hAnsi="Calibri"/>
                <w:sz w:val="22"/>
              </w:rPr>
              <w:t>$3.91</w:t>
            </w:r>
          </w:p>
        </w:tc>
        <w:tc>
          <w:tcPr>
            <w:tcW w:type="dxa" w:w="1728"/>
          </w:tcPr>
          <w:p>
            <w:r>
              <w:rPr>
                <w:rFonts w:ascii="Calibri" w:hAnsi="Calibri"/>
                <w:b/>
                <w:color w:val="30A46C"/>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$3.91</w:t>
            </w:r>
          </w:p>
        </w:tc>
        <w:tc>
          <w:tcPr>
            <w:tcW w:type="dxa" w:w="1728"/>
          </w:tcPr>
          <w:p>
            <w:r>
              <w:rPr>
                <w:rFonts w:ascii="Calibri" w:hAnsi="Calibri"/>
                <w:sz w:val="22"/>
              </w:rPr>
              <w:t>$3.88</w:t>
            </w:r>
          </w:p>
        </w:tc>
        <w:tc>
          <w:tcPr>
            <w:tcW w:type="dxa" w:w="1728"/>
          </w:tcPr>
          <w:p>
            <w:r>
              <w:rPr>
                <w:rFonts w:ascii="Calibri" w:hAnsi="Calibri"/>
                <w:b/>
                <w:color w:val="30A46C"/>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$3.94</w:t>
            </w:r>
          </w:p>
        </w:tc>
        <w:tc>
          <w:tcPr>
            <w:tcW w:type="dxa" w:w="1728"/>
          </w:tcPr>
          <w:p>
            <w:r>
              <w:rPr>
                <w:rFonts w:ascii="Calibri" w:hAnsi="Calibri"/>
                <w:sz w:val="22"/>
              </w:rPr>
              <w:t>$3.86</w:t>
            </w:r>
          </w:p>
        </w:tc>
        <w:tc>
          <w:tcPr>
            <w:tcW w:type="dxa" w:w="1728"/>
          </w:tcPr>
          <w:p>
            <w:r>
              <w:rPr>
                <w:rFonts w:ascii="Calibri" w:hAnsi="Calibri"/>
                <w:b/>
                <w:color w:val="30A46C"/>
                <w:sz w:val="22"/>
              </w:rPr>
              <w:t>+2.1%</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ESS has beaten Core FFO consensus in 7 of the last 8 quarters, with the lone miss in Q4 2025 being a narrow −0.5% shortfall; the Q1 2026 beat of +2.5% was the largest in the trailing 8-quarter window, driven by same-property NOI outperformance and a timing-related expense benefit. Source: Visible Alpha Consensus and Actuals Data.</w:t>
      </w:r>
    </w:p>
    <w:p>
      <w:pPr>
        <w:pStyle w:val="Heading4"/>
      </w:pPr>
      <w:r>
        <w:rPr>
          <w:rFonts w:ascii="Calibri" w:hAnsi="Calibri"/>
          <w:b/>
          <w:color w:val="3B4259"/>
          <w:sz w:val="22"/>
        </w:rPr>
        <w:t>Blended Lease Rate Growth — Same Store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1.4%</w:t>
            </w:r>
          </w:p>
        </w:tc>
        <w:tc>
          <w:tcPr>
            <w:tcW w:type="dxa" w:w="1728"/>
          </w:tcPr>
          <w:p>
            <w:r>
              <w:rPr>
                <w:rFonts w:ascii="Calibri" w:hAnsi="Calibri"/>
                <w:sz w:val="22"/>
              </w:rPr>
              <w:t>2.40%</w:t>
            </w:r>
          </w:p>
        </w:tc>
        <w:tc>
          <w:tcPr>
            <w:tcW w:type="dxa" w:w="1728"/>
          </w:tcPr>
          <w:p>
            <w:r>
              <w:rPr>
                <w:rFonts w:ascii="Calibri" w:hAnsi="Calibri"/>
                <w:b/>
                <w:color w:val="E5484D"/>
                <w:sz w:val="22"/>
              </w:rPr>
              <w:t>−100 bps</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1.0%</w:t>
            </w:r>
          </w:p>
        </w:tc>
        <w:tc>
          <w:tcPr>
            <w:tcW w:type="dxa" w:w="1728"/>
          </w:tcPr>
          <w:p>
            <w:r>
              <w:rPr>
                <w:rFonts w:ascii="Calibri" w:hAnsi="Calibri"/>
                <w:sz w:val="22"/>
              </w:rPr>
              <w:t>1.95%</w:t>
            </w:r>
          </w:p>
        </w:tc>
        <w:tc>
          <w:tcPr>
            <w:tcW w:type="dxa" w:w="1728"/>
          </w:tcPr>
          <w:p>
            <w:r>
              <w:rPr>
                <w:rFonts w:ascii="Calibri" w:hAnsi="Calibri"/>
                <w:b/>
                <w:color w:val="E5484D"/>
                <w:sz w:val="22"/>
              </w:rPr>
              <w:t>−195 bps</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2.5%</w:t>
            </w:r>
          </w:p>
        </w:tc>
        <w:tc>
          <w:tcPr>
            <w:tcW w:type="dxa" w:w="1728"/>
          </w:tcPr>
          <w:p>
            <w:r>
              <w:rPr>
                <w:rFonts w:ascii="Calibri" w:hAnsi="Calibri"/>
                <w:sz w:val="22"/>
              </w:rPr>
              <w:t>2.61%</w:t>
            </w:r>
          </w:p>
        </w:tc>
        <w:tc>
          <w:tcPr>
            <w:tcW w:type="dxa" w:w="1728"/>
          </w:tcPr>
          <w:p>
            <w:r>
              <w:rPr>
                <w:rFonts w:ascii="Calibri" w:hAnsi="Calibri"/>
                <w:b/>
                <w:color w:val="E5484D"/>
                <w:sz w:val="22"/>
              </w:rPr>
              <w:t>−11 bps</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3.8%</w:t>
            </w:r>
          </w:p>
        </w:tc>
        <w:tc>
          <w:tcPr>
            <w:tcW w:type="dxa" w:w="1728"/>
          </w:tcPr>
          <w:p>
            <w:r>
              <w:rPr>
                <w:rFonts w:ascii="Calibri" w:hAnsi="Calibri"/>
                <w:sz w:val="22"/>
              </w:rPr>
              <w:t>2.97%</w:t>
            </w:r>
          </w:p>
        </w:tc>
        <w:tc>
          <w:tcPr>
            <w:tcW w:type="dxa" w:w="1728"/>
          </w:tcPr>
          <w:p>
            <w:r>
              <w:rPr>
                <w:rFonts w:ascii="Calibri" w:hAnsi="Calibri"/>
                <w:b/>
                <w:color w:val="30A46C"/>
                <w:sz w:val="22"/>
              </w:rPr>
              <w:t>+83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2.7%</w:t>
            </w:r>
          </w:p>
        </w:tc>
        <w:tc>
          <w:tcPr>
            <w:tcW w:type="dxa" w:w="1728"/>
          </w:tcPr>
          <w:p>
            <w:r>
              <w:rPr>
                <w:rFonts w:ascii="Calibri" w:hAnsi="Calibri"/>
                <w:sz w:val="22"/>
              </w:rPr>
              <w:t>2.70%</w:t>
            </w:r>
          </w:p>
        </w:tc>
        <w:tc>
          <w:tcPr>
            <w:tcW w:type="dxa" w:w="1728"/>
          </w:tcPr>
          <w:p>
            <w:r>
              <w:rPr>
                <w:rFonts w:ascii="Calibri" w:hAnsi="Calibri"/>
                <w:sz w:val="22"/>
              </w:rPr>
              <w:t>0 bps</w:t>
            </w:r>
          </w:p>
        </w:tc>
        <w:tc>
          <w:tcPr>
            <w:tcW w:type="dxa" w:w="1728"/>
          </w:tcPr>
          <w:p>
            <w:r>
              <w:rPr>
                <w:rFonts w:ascii="Calibri" w:hAnsi="Calibri"/>
                <w:sz w:val="22"/>
              </w:rPr>
              <w:t>IN LINE</w:t>
            </w:r>
          </w:p>
        </w:tc>
      </w:tr>
      <w:tr>
        <w:tc>
          <w:tcPr>
            <w:tcW w:type="dxa" w:w="1728"/>
          </w:tcPr>
          <w:p>
            <w:r>
              <w:rPr>
                <w:rFonts w:ascii="Calibri" w:hAnsi="Calibri"/>
                <w:sz w:val="22"/>
              </w:rPr>
              <w:t>Q4 2024</w:t>
            </w:r>
          </w:p>
        </w:tc>
        <w:tc>
          <w:tcPr>
            <w:tcW w:type="dxa" w:w="1728"/>
          </w:tcPr>
          <w:p>
            <w:r>
              <w:rPr>
                <w:rFonts w:ascii="Calibri" w:hAnsi="Calibri"/>
                <w:sz w:val="22"/>
              </w:rPr>
              <w:t>1.6%</w:t>
            </w:r>
          </w:p>
        </w:tc>
        <w:tc>
          <w:tcPr>
            <w:tcW w:type="dxa" w:w="1728"/>
          </w:tcPr>
          <w:p>
            <w:r>
              <w:rPr>
                <w:rFonts w:ascii="Calibri" w:hAnsi="Calibri"/>
                <w:sz w:val="22"/>
              </w:rPr>
              <w:t>1.51%</w:t>
            </w:r>
          </w:p>
        </w:tc>
        <w:tc>
          <w:tcPr>
            <w:tcW w:type="dxa" w:w="1728"/>
          </w:tcPr>
          <w:p>
            <w:r>
              <w:rPr>
                <w:rFonts w:ascii="Calibri" w:hAnsi="Calibri"/>
                <w:b/>
                <w:color w:val="30A46C"/>
                <w:sz w:val="22"/>
              </w:rPr>
              <w:t>+9 bps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2.5%</w:t>
            </w:r>
          </w:p>
        </w:tc>
        <w:tc>
          <w:tcPr>
            <w:tcW w:type="dxa" w:w="1728"/>
          </w:tcPr>
          <w:p>
            <w:r>
              <w:rPr>
                <w:rFonts w:ascii="Calibri" w:hAnsi="Calibri"/>
                <w:sz w:val="22"/>
              </w:rPr>
              <w:t>2.67%</w:t>
            </w:r>
          </w:p>
        </w:tc>
        <w:tc>
          <w:tcPr>
            <w:tcW w:type="dxa" w:w="1728"/>
          </w:tcPr>
          <w:p>
            <w:r>
              <w:rPr>
                <w:rFonts w:ascii="Calibri" w:hAnsi="Calibri"/>
                <w:b/>
                <w:color w:val="E5484D"/>
                <w:sz w:val="22"/>
              </w:rPr>
              <w:t>−17 bps</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3.4%</w:t>
            </w:r>
          </w:p>
        </w:tc>
        <w:tc>
          <w:tcPr>
            <w:tcW w:type="dxa" w:w="1728"/>
          </w:tcPr>
          <w:p>
            <w:r>
              <w:rPr>
                <w:rFonts w:ascii="Calibri" w:hAnsi="Calibri"/>
                <w:sz w:val="22"/>
              </w:rPr>
              <w:t>3.64%</w:t>
            </w:r>
          </w:p>
        </w:tc>
        <w:tc>
          <w:tcPr>
            <w:tcW w:type="dxa" w:w="1728"/>
          </w:tcPr>
          <w:p>
            <w:r>
              <w:rPr>
                <w:rFonts w:ascii="Calibri" w:hAnsi="Calibri"/>
                <w:b/>
                <w:color w:val="E5484D"/>
                <w:sz w:val="22"/>
              </w:rPr>
              <w:t>−24 bps</w:t>
            </w:r>
          </w:p>
        </w:tc>
        <w:tc>
          <w:tcPr>
            <w:tcW w:type="dxa" w:w="1728"/>
          </w:tcPr>
          <w:p>
            <w:r>
              <w:rPr>
                <w:rFonts w:ascii="Calibri" w:hAnsi="Calibri"/>
                <w:b/>
                <w:color w:val="E5484D"/>
                <w:sz w:val="22"/>
              </w:rPr>
              <w:t>MISS</w:t>
            </w:r>
          </w:p>
        </w:tc>
      </w:tr>
    </w:tbl>
    <w:p>
      <w:r>
        <w:rPr>
          <w:rFonts w:ascii="Calibri" w:hAnsi="Calibri"/>
          <w:i/>
          <w:color w:val="525866"/>
          <w:sz w:val="22"/>
        </w:rPr>
        <w:t>* Q1 2026 and Q4 2025 blended lease rate misses vs. consensus are partly a methodology artifact: ESS changed its reporting from like-for-like to all-lease terms in Q1 2026, which introduces more seasonal variability (lower Q1/Q4, higher Q2/Q3). On the old like-for-like basis, Q1 2026 blended would have been 2.0%. Source: Visible Alpha Consensus and Actuals Data; ESS Q1 2026 Earnings Call Transcript.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but management's tone has shifted materially more constructive — at the June REITweek conference, ESS confirmed the portfolio is tracking ahead of guidance with blended lease rates accelerating to 3.7% in May, and signaled it will revisit guidance after Q2 results.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Apr 28,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Core FFO per Share</w:t>
            </w:r>
          </w:p>
        </w:tc>
        <w:tc>
          <w:tcPr>
            <w:tcW w:type="dxa" w:w="1728"/>
          </w:tcPr>
          <w:p>
            <w:r>
              <w:rPr>
                <w:rFonts w:ascii="Calibri" w:hAnsi="Calibri"/>
                <w:sz w:val="22"/>
              </w:rPr>
              <w:t>$3.92–$4.04 (mid: $3.98)</w:t>
            </w:r>
          </w:p>
        </w:tc>
        <w:tc>
          <w:tcPr>
            <w:tcW w:type="dxa" w:w="1728"/>
          </w:tcPr>
          <w:p>
            <w:r>
              <w:rPr>
                <w:rFonts w:ascii="Calibri" w:hAnsi="Calibri"/>
                <w:sz w:val="22"/>
              </w:rPr>
              <w:t>—</w:t>
            </w:r>
          </w:p>
        </w:tc>
        <w:tc>
          <w:tcPr>
            <w:tcW w:type="dxa" w:w="1728"/>
          </w:tcPr>
          <w:p>
            <w:r>
              <w:rPr>
                <w:rFonts w:ascii="Calibri" w:hAnsi="Calibri"/>
                <w:sz w:val="22"/>
              </w:rPr>
              <w:t>$4.04</w:t>
            </w:r>
          </w:p>
        </w:tc>
        <w:tc>
          <w:tcPr>
            <w:tcW w:type="dxa" w:w="1728"/>
          </w:tcPr>
          <w:p>
            <w:r>
              <w:rPr>
                <w:rFonts w:ascii="Calibri" w:hAnsi="Calibri"/>
                <w:sz w:val="22"/>
              </w:rPr>
              <w:t>Unchanged; consensus sits at top of range. Management noted at REITweek (Jun 3) that portfolio is tracking ahead of guidance.</w:t>
            </w:r>
          </w:p>
        </w:tc>
      </w:tr>
      <w:tr>
        <w:tc>
          <w:tcPr>
            <w:tcW w:type="dxa" w:w="1728"/>
          </w:tcPr>
          <w:p>
            <w:r>
              <w:rPr>
                <w:rFonts w:ascii="Calibri" w:hAnsi="Calibri"/>
                <w:sz w:val="22"/>
              </w:rPr>
              <w:t>FY 2026 Core FFO per Share</w:t>
            </w:r>
          </w:p>
        </w:tc>
        <w:tc>
          <w:tcPr>
            <w:tcW w:type="dxa" w:w="1728"/>
          </w:tcPr>
          <w:p>
            <w:r>
              <w:rPr>
                <w:rFonts w:ascii="Calibri" w:hAnsi="Calibri"/>
                <w:sz w:val="22"/>
              </w:rPr>
              <w:t>$15.69–$16.19 (mid: $15.94)</w:t>
            </w:r>
          </w:p>
        </w:tc>
        <w:tc>
          <w:tcPr>
            <w:tcW w:type="dxa" w:w="1728"/>
          </w:tcPr>
          <w:p>
            <w:r>
              <w:rPr>
                <w:rFonts w:ascii="Calibri" w:hAnsi="Calibri"/>
                <w:sz w:val="22"/>
              </w:rPr>
              <w:t>—</w:t>
            </w:r>
          </w:p>
        </w:tc>
        <w:tc>
          <w:tcPr>
            <w:tcW w:type="dxa" w:w="1728"/>
          </w:tcPr>
          <w:p>
            <w:r>
              <w:rPr>
                <w:rFonts w:ascii="Calibri" w:hAnsi="Calibri"/>
                <w:sz w:val="22"/>
              </w:rPr>
              <w:t>$16.11</w:t>
            </w:r>
          </w:p>
        </w:tc>
        <w:tc>
          <w:tcPr>
            <w:tcW w:type="dxa" w:w="1728"/>
          </w:tcPr>
          <w:p>
            <w:r>
              <w:rPr>
                <w:rFonts w:ascii="Calibri" w:hAnsi="Calibri"/>
                <w:sz w:val="22"/>
              </w:rPr>
              <w:t>Reaffirmed at Q1 earnings; consensus $16.11 is $0.17 above midpoint. Management signaled guidance revisit after Q2 results.</w:t>
            </w:r>
          </w:p>
        </w:tc>
      </w:tr>
      <w:tr>
        <w:tc>
          <w:tcPr>
            <w:tcW w:type="dxa" w:w="1728"/>
          </w:tcPr>
          <w:p>
            <w:r>
              <w:rPr>
                <w:rFonts w:ascii="Calibri" w:hAnsi="Calibri"/>
                <w:sz w:val="22"/>
              </w:rPr>
              <w:t>FY 2026 Same-Store Revenue Growth (Cash)</w:t>
            </w:r>
          </w:p>
        </w:tc>
        <w:tc>
          <w:tcPr>
            <w:tcW w:type="dxa" w:w="1728"/>
          </w:tcPr>
          <w:p>
            <w:r>
              <w:rPr>
                <w:rFonts w:ascii="Calibri" w:hAnsi="Calibri"/>
                <w:sz w:val="22"/>
              </w:rPr>
              <w:t>1.70%–3.10% (mid: 2.40%)</w:t>
            </w:r>
          </w:p>
        </w:tc>
        <w:tc>
          <w:tcPr>
            <w:tcW w:type="dxa" w:w="1728"/>
          </w:tcPr>
          <w:p>
            <w:r>
              <w:rPr>
                <w:rFonts w:ascii="Calibri" w:hAnsi="Calibri"/>
                <w:sz w:val="22"/>
              </w:rPr>
              <w:t>—</w:t>
            </w:r>
          </w:p>
        </w:tc>
        <w:tc>
          <w:tcPr>
            <w:tcW w:type="dxa" w:w="1728"/>
          </w:tcPr>
          <w:p>
            <w:r>
              <w:rPr>
                <w:rFonts w:ascii="Calibri" w:hAnsi="Calibri"/>
                <w:sz w:val="22"/>
              </w:rPr>
              <w:t>2.58%</w:t>
            </w:r>
          </w:p>
        </w:tc>
        <w:tc>
          <w:tcPr>
            <w:tcW w:type="dxa" w:w="1728"/>
          </w:tcPr>
          <w:p>
            <w:r>
              <w:rPr>
                <w:rFonts w:ascii="Calibri" w:hAnsi="Calibri"/>
                <w:sz w:val="22"/>
              </w:rPr>
              <w:t>Reaffirmed; consensus above midpoint. May blended rates of 3.7% suggest H1 tracking ahead of plan.</w:t>
            </w:r>
          </w:p>
        </w:tc>
      </w:tr>
      <w:tr>
        <w:tc>
          <w:tcPr>
            <w:tcW w:type="dxa" w:w="1728"/>
          </w:tcPr>
          <w:p>
            <w:r>
              <w:rPr>
                <w:rFonts w:ascii="Calibri" w:hAnsi="Calibri"/>
                <w:sz w:val="22"/>
              </w:rPr>
              <w:t>FY 2026 Same-Store NOI Growth</w:t>
            </w:r>
          </w:p>
        </w:tc>
        <w:tc>
          <w:tcPr>
            <w:tcW w:type="dxa" w:w="1728"/>
          </w:tcPr>
          <w:p>
            <w:r>
              <w:rPr>
                <w:rFonts w:ascii="Calibri" w:hAnsi="Calibri"/>
                <w:sz w:val="22"/>
              </w:rPr>
              <w:t>FY GAAP mid: 2.20%</w:t>
            </w:r>
          </w:p>
        </w:tc>
        <w:tc>
          <w:tcPr>
            <w:tcW w:type="dxa" w:w="1728"/>
          </w:tcPr>
          <w:p>
            <w:r>
              <w:rPr>
                <w:rFonts w:ascii="Calibri" w:hAnsi="Calibri"/>
                <w:sz w:val="22"/>
              </w:rPr>
              <w:t>—</w:t>
            </w:r>
          </w:p>
        </w:tc>
        <w:tc>
          <w:tcPr>
            <w:tcW w:type="dxa" w:w="1728"/>
          </w:tcPr>
          <w:p>
            <w:r>
              <w:rPr>
                <w:rFonts w:ascii="Calibri" w:hAnsi="Calibri"/>
                <w:sz w:val="22"/>
              </w:rPr>
              <w:t>2.82%</w:t>
            </w:r>
          </w:p>
        </w:tc>
        <w:tc>
          <w:tcPr>
            <w:tcW w:type="dxa" w:w="1728"/>
          </w:tcPr>
          <w:p>
            <w:r>
              <w:rPr>
                <w:rFonts w:ascii="Calibri" w:hAnsi="Calibri"/>
                <w:sz w:val="22"/>
              </w:rPr>
              <w:t>Reaffirmed; consensus above midpoint. Q1 expense timing benefit expected to reverse in H2, creating a headwind.</w:t>
            </w:r>
          </w:p>
        </w:tc>
      </w:tr>
      <w:tr>
        <w:tc>
          <w:tcPr>
            <w:tcW w:type="dxa" w:w="1728"/>
          </w:tcPr>
          <w:p>
            <w:r>
              <w:rPr>
                <w:rFonts w:ascii="Calibri" w:hAnsi="Calibri"/>
                <w:sz w:val="22"/>
              </w:rPr>
              <w:t>FY 2026 Blended Lease Rate Growth</w:t>
            </w:r>
          </w:p>
        </w:tc>
        <w:tc>
          <w:tcPr>
            <w:tcW w:type="dxa" w:w="1728"/>
          </w:tcPr>
          <w:p>
            <w:r>
              <w:rPr>
                <w:rFonts w:ascii="Calibri" w:hAnsi="Calibri"/>
                <w:sz w:val="22"/>
              </w:rPr>
              <w:t>~2.5% full-year (new: 0%–1%, renewals: 3%–4%)</w:t>
            </w:r>
          </w:p>
        </w:tc>
        <w:tc>
          <w:tcPr>
            <w:tcW w:type="dxa" w:w="1728"/>
          </w:tcPr>
          <w:p>
            <w:r>
              <w:rPr>
                <w:rFonts w:ascii="Calibri" w:hAnsi="Calibri"/>
                <w:sz w:val="22"/>
              </w:rPr>
              <w:t>—</w:t>
            </w:r>
          </w:p>
        </w:tc>
        <w:tc>
          <w:tcPr>
            <w:tcW w:type="dxa" w:w="1728"/>
          </w:tcPr>
          <w:p>
            <w:r>
              <w:rPr>
                <w:rFonts w:ascii="Calibri" w:hAnsi="Calibri"/>
                <w:sz w:val="22"/>
              </w:rPr>
              <w:t>2.43%</w:t>
            </w:r>
          </w:p>
        </w:tc>
        <w:tc>
          <w:tcPr>
            <w:tcW w:type="dxa" w:w="1728"/>
          </w:tcPr>
          <w:p>
            <w:r>
              <w:rPr>
                <w:rFonts w:ascii="Calibri" w:hAnsi="Calibri"/>
                <w:sz w:val="22"/>
              </w:rPr>
              <w:t>Renewals being sent at ~5% for summer; May blended 3.7% suggests H1 tracking well ahead of 2.5% FY target.</w:t>
            </w:r>
          </w:p>
        </w:tc>
      </w:tr>
      <w:tr>
        <w:tc>
          <w:tcPr>
            <w:tcW w:type="dxa" w:w="1728"/>
          </w:tcPr>
          <w:p>
            <w:r>
              <w:rPr>
                <w:rFonts w:ascii="Calibri" w:hAnsi="Calibri"/>
                <w:sz w:val="22"/>
              </w:rPr>
              <w:t>Structured Finance Redemptions</w:t>
            </w:r>
          </w:p>
        </w:tc>
        <w:tc>
          <w:tcPr>
            <w:tcW w:type="dxa" w:w="1728"/>
          </w:tcPr>
          <w:p>
            <w:r>
              <w:rPr>
                <w:rFonts w:ascii="Calibri" w:hAnsi="Calibri"/>
                <w:sz w:val="22"/>
              </w:rPr>
              <w:t>~$90M early redemption in Q2 2026 (originally 2027–2028 maturities); $0.07 H2 FFO headwind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Headwind largely offset by ~$62M in share buybacks at avg. $243.76 (6.5% FFO yield). Management: overhang “effectively behind us.”</w:t>
            </w:r>
          </w:p>
        </w:tc>
      </w:tr>
    </w:tbl>
    <w:p>
      <w:r>
        <w:rPr>
          <w:rFonts w:ascii="Calibri" w:hAnsi="Calibri"/>
          <w:i/>
          <w:color w:val="525866"/>
          <w:sz w:val="22"/>
        </w:rPr>
        <w:t>Source: ESS Q1 2026 Earnings Release (April 28, 2026); ESS Q1 2026 Earnings Call Transcript; ESS Nareit REITweek Conference Transcript (June 3,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Q1 2026 print across all key KPIs, tracking above guidance midpoints — the gap represents cushion rather than risk, and the trajectory of upward revisions supports the case for a guidance raise on the Q2 call.</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Core FFO/Share — Q2 2026</w:t>
            </w:r>
          </w:p>
        </w:tc>
        <w:tc>
          <w:tcPr>
            <w:tcW w:type="dxa" w:w="1080"/>
          </w:tcPr>
          <w:p>
            <w:r>
              <w:rPr>
                <w:rFonts w:ascii="Calibri" w:hAnsi="Calibri"/>
                <w:sz w:val="22"/>
              </w:rPr>
              <w:t>$4.037</w:t>
            </w:r>
          </w:p>
        </w:tc>
        <w:tc>
          <w:tcPr>
            <w:tcW w:type="dxa" w:w="1080"/>
          </w:tcPr>
          <w:p>
            <w:r>
              <w:rPr>
                <w:rFonts w:ascii="Calibri" w:hAnsi="Calibri"/>
                <w:sz w:val="22"/>
              </w:rPr>
              <w:t>$4.039</w:t>
            </w:r>
          </w:p>
        </w:tc>
        <w:tc>
          <w:tcPr>
            <w:tcW w:type="dxa" w:w="1080"/>
          </w:tcPr>
          <w:p>
            <w:r>
              <w:rPr>
                <w:rFonts w:ascii="Calibri" w:hAnsi="Calibri"/>
                <w:b/>
                <w:color w:val="30A46C"/>
                <w:sz w:val="22"/>
              </w:rPr>
              <w:t>+0.1%</w:t>
            </w:r>
          </w:p>
        </w:tc>
        <w:tc>
          <w:tcPr>
            <w:tcW w:type="dxa" w:w="1080"/>
          </w:tcPr>
          <w:p>
            <w:r>
              <w:rPr>
                <w:rFonts w:ascii="Calibri" w:hAnsi="Calibri"/>
                <w:sz w:val="22"/>
              </w:rPr>
              <w:t>$3.92–$4.04 (mid: $3.98)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+1.5% above mid</w:t>
            </w:r>
          </w:p>
        </w:tc>
      </w:tr>
      <w:tr>
        <w:tc>
          <w:tcPr>
            <w:tcW w:type="dxa" w:w="1080"/>
          </w:tcPr>
          <w:p>
            <w:r>
              <w:rPr>
                <w:rFonts w:ascii="Calibri" w:hAnsi="Calibri"/>
                <w:sz w:val="22"/>
              </w:rPr>
              <w:t>Core FFO/Share — FY 2026</w:t>
            </w:r>
          </w:p>
        </w:tc>
        <w:tc>
          <w:tcPr>
            <w:tcW w:type="dxa" w:w="1080"/>
          </w:tcPr>
          <w:p>
            <w:r>
              <w:rPr>
                <w:rFonts w:ascii="Calibri" w:hAnsi="Calibri"/>
                <w:sz w:val="22"/>
              </w:rPr>
              <w:t>$16.099</w:t>
            </w:r>
          </w:p>
        </w:tc>
        <w:tc>
          <w:tcPr>
            <w:tcW w:type="dxa" w:w="1080"/>
          </w:tcPr>
          <w:p>
            <w:r>
              <w:rPr>
                <w:rFonts w:ascii="Calibri" w:hAnsi="Calibri"/>
                <w:sz w:val="22"/>
              </w:rPr>
              <w:t>$16.111</w:t>
            </w:r>
          </w:p>
        </w:tc>
        <w:tc>
          <w:tcPr>
            <w:tcW w:type="dxa" w:w="1080"/>
          </w:tcPr>
          <w:p>
            <w:r>
              <w:rPr>
                <w:rFonts w:ascii="Calibri" w:hAnsi="Calibri"/>
                <w:b/>
                <w:color w:val="30A46C"/>
                <w:sz w:val="22"/>
              </w:rPr>
              <w:t>+0.1%</w:t>
            </w:r>
          </w:p>
        </w:tc>
        <w:tc>
          <w:tcPr>
            <w:tcW w:type="dxa" w:w="1080"/>
          </w:tcPr>
          <w:p>
            <w:r>
              <w:rPr>
                <w:rFonts w:ascii="Calibri" w:hAnsi="Calibri"/>
                <w:sz w:val="22"/>
              </w:rPr>
              <w:t>$15.69–$16.19 (mid: $15.94)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 above mid</w:t>
            </w:r>
          </w:p>
        </w:tc>
      </w:tr>
      <w:tr>
        <w:tc>
          <w:tcPr>
            <w:tcW w:type="dxa" w:w="1080"/>
          </w:tcPr>
          <w:p>
            <w:r>
              <w:rPr>
                <w:rFonts w:ascii="Calibri" w:hAnsi="Calibri"/>
                <w:sz w:val="22"/>
              </w:rPr>
              <w:t>SS Revenue Growth — Q2 2026</w:t>
            </w:r>
          </w:p>
        </w:tc>
        <w:tc>
          <w:tcPr>
            <w:tcW w:type="dxa" w:w="1080"/>
          </w:tcPr>
          <w:p>
            <w:r>
              <w:rPr>
                <w:rFonts w:ascii="Calibri" w:hAnsi="Calibri"/>
                <w:sz w:val="22"/>
              </w:rPr>
              <w:t>2.46%</w:t>
            </w:r>
          </w:p>
        </w:tc>
        <w:tc>
          <w:tcPr>
            <w:tcW w:type="dxa" w:w="1080"/>
          </w:tcPr>
          <w:p>
            <w:r>
              <w:rPr>
                <w:rFonts w:ascii="Calibri" w:hAnsi="Calibri"/>
                <w:sz w:val="22"/>
              </w:rPr>
              <w:t>2.58%</w:t>
            </w:r>
          </w:p>
        </w:tc>
        <w:tc>
          <w:tcPr>
            <w:tcW w:type="dxa" w:w="1080"/>
          </w:tcPr>
          <w:p>
            <w:r>
              <w:rPr>
                <w:rFonts w:ascii="Calibri" w:hAnsi="Calibri"/>
                <w:b/>
                <w:color w:val="30A46C"/>
                <w:sz w:val="22"/>
              </w:rPr>
              <w:t>+12 bps</w:t>
            </w:r>
          </w:p>
        </w:tc>
        <w:tc>
          <w:tcPr>
            <w:tcW w:type="dxa" w:w="1080"/>
          </w:tcPr>
          <w:p>
            <w:r>
              <w:rPr>
                <w:rFonts w:ascii="Calibri" w:hAnsi="Calibri"/>
                <w:sz w:val="22"/>
              </w:rPr>
              <w:t>FY: 1.70%–3.10% (mid: 2.40%)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+18 bps above FY mid</w:t>
            </w:r>
          </w:p>
        </w:tc>
      </w:tr>
      <w:tr>
        <w:tc>
          <w:tcPr>
            <w:tcW w:type="dxa" w:w="1080"/>
          </w:tcPr>
          <w:p>
            <w:r>
              <w:rPr>
                <w:rFonts w:ascii="Calibri" w:hAnsi="Calibri"/>
                <w:sz w:val="22"/>
              </w:rPr>
              <w:t>SS Revenue Growth — FY 2026</w:t>
            </w:r>
          </w:p>
        </w:tc>
        <w:tc>
          <w:tcPr>
            <w:tcW w:type="dxa" w:w="1080"/>
          </w:tcPr>
          <w:p>
            <w:r>
              <w:rPr>
                <w:rFonts w:ascii="Calibri" w:hAnsi="Calibri"/>
                <w:sz w:val="22"/>
              </w:rPr>
              <w:t>2.51%</w:t>
            </w:r>
          </w:p>
        </w:tc>
        <w:tc>
          <w:tcPr>
            <w:tcW w:type="dxa" w:w="1080"/>
          </w:tcPr>
          <w:p>
            <w:r>
              <w:rPr>
                <w:rFonts w:ascii="Calibri" w:hAnsi="Calibri"/>
                <w:sz w:val="22"/>
              </w:rPr>
              <w:t>2.70%</w:t>
            </w:r>
          </w:p>
        </w:tc>
        <w:tc>
          <w:tcPr>
            <w:tcW w:type="dxa" w:w="1080"/>
          </w:tcPr>
          <w:p>
            <w:r>
              <w:rPr>
                <w:rFonts w:ascii="Calibri" w:hAnsi="Calibri"/>
                <w:b/>
                <w:color w:val="30A46C"/>
                <w:sz w:val="22"/>
              </w:rPr>
              <w:t>+19 bps</w:t>
            </w:r>
          </w:p>
        </w:tc>
        <w:tc>
          <w:tcPr>
            <w:tcW w:type="dxa" w:w="1080"/>
          </w:tcPr>
          <w:p>
            <w:r>
              <w:rPr>
                <w:rFonts w:ascii="Calibri" w:hAnsi="Calibri"/>
                <w:sz w:val="22"/>
              </w:rPr>
              <w:t>FY: 1.70%–3.10% (mid: 2.40%)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+30 bps above FY mid</w:t>
            </w:r>
          </w:p>
        </w:tc>
      </w:tr>
      <w:tr>
        <w:tc>
          <w:tcPr>
            <w:tcW w:type="dxa" w:w="1080"/>
          </w:tcPr>
          <w:p>
            <w:r>
              <w:rPr>
                <w:rFonts w:ascii="Calibri" w:hAnsi="Calibri"/>
                <w:sz w:val="22"/>
              </w:rPr>
              <w:t>SS NOI Growth — Q2 2026</w:t>
            </w:r>
          </w:p>
        </w:tc>
        <w:tc>
          <w:tcPr>
            <w:tcW w:type="dxa" w:w="1080"/>
          </w:tcPr>
          <w:p>
            <w:r>
              <w:rPr>
                <w:rFonts w:ascii="Calibri" w:hAnsi="Calibri"/>
                <w:sz w:val="22"/>
              </w:rPr>
              <w:t>1.99%</w:t>
            </w:r>
          </w:p>
        </w:tc>
        <w:tc>
          <w:tcPr>
            <w:tcW w:type="dxa" w:w="1080"/>
          </w:tcPr>
          <w:p>
            <w:r>
              <w:rPr>
                <w:rFonts w:ascii="Calibri" w:hAnsi="Calibri"/>
                <w:sz w:val="22"/>
              </w:rPr>
              <w:t>2.27%</w:t>
            </w:r>
          </w:p>
        </w:tc>
        <w:tc>
          <w:tcPr>
            <w:tcW w:type="dxa" w:w="1080"/>
          </w:tcPr>
          <w:p>
            <w:r>
              <w:rPr>
                <w:rFonts w:ascii="Calibri" w:hAnsi="Calibri"/>
                <w:b/>
                <w:color w:val="30A46C"/>
                <w:sz w:val="22"/>
              </w:rPr>
              <w:t>+28 bps</w:t>
            </w:r>
          </w:p>
        </w:tc>
        <w:tc>
          <w:tcPr>
            <w:tcW w:type="dxa" w:w="1080"/>
          </w:tcPr>
          <w:p>
            <w:r>
              <w:rPr>
                <w:rFonts w:ascii="Calibri" w:hAnsi="Calibri"/>
                <w:sz w:val="22"/>
              </w:rPr>
              <w:t>FY GAAP mid: 2.20%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+7 bps above FY mid</w:t>
            </w:r>
          </w:p>
        </w:tc>
      </w:tr>
      <w:tr>
        <w:tc>
          <w:tcPr>
            <w:tcW w:type="dxa" w:w="1080"/>
          </w:tcPr>
          <w:p>
            <w:r>
              <w:rPr>
                <w:rFonts w:ascii="Calibri" w:hAnsi="Calibri"/>
                <w:sz w:val="22"/>
              </w:rPr>
              <w:t>SS NOI Growth — FY 2026</w:t>
            </w:r>
          </w:p>
        </w:tc>
        <w:tc>
          <w:tcPr>
            <w:tcW w:type="dxa" w:w="1080"/>
          </w:tcPr>
          <w:p>
            <w:r>
              <w:rPr>
                <w:rFonts w:ascii="Calibri" w:hAnsi="Calibri"/>
                <w:sz w:val="22"/>
              </w:rPr>
              <w:t>2.47%</w:t>
            </w:r>
          </w:p>
        </w:tc>
        <w:tc>
          <w:tcPr>
            <w:tcW w:type="dxa" w:w="1080"/>
          </w:tcPr>
          <w:p>
            <w:r>
              <w:rPr>
                <w:rFonts w:ascii="Calibri" w:hAnsi="Calibri"/>
                <w:sz w:val="22"/>
              </w:rPr>
              <w:t>2.82%</w:t>
            </w:r>
          </w:p>
        </w:tc>
        <w:tc>
          <w:tcPr>
            <w:tcW w:type="dxa" w:w="1080"/>
          </w:tcPr>
          <w:p>
            <w:r>
              <w:rPr>
                <w:rFonts w:ascii="Calibri" w:hAnsi="Calibri"/>
                <w:b/>
                <w:color w:val="30A46C"/>
                <w:sz w:val="22"/>
              </w:rPr>
              <w:t>+35 bps</w:t>
            </w:r>
          </w:p>
        </w:tc>
        <w:tc>
          <w:tcPr>
            <w:tcW w:type="dxa" w:w="1080"/>
          </w:tcPr>
          <w:p>
            <w:r>
              <w:rPr>
                <w:rFonts w:ascii="Calibri" w:hAnsi="Calibri"/>
                <w:sz w:val="22"/>
              </w:rPr>
              <w:t>FY GAAP mid: 2.20%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+62 bps above FY mid</w:t>
            </w:r>
          </w:p>
        </w:tc>
      </w:tr>
      <w:tr>
        <w:tc>
          <w:tcPr>
            <w:tcW w:type="dxa" w:w="1080"/>
          </w:tcPr>
          <w:p>
            <w:r>
              <w:rPr>
                <w:rFonts w:ascii="Calibri" w:hAnsi="Calibri"/>
                <w:sz w:val="22"/>
              </w:rPr>
              <w:t>Blended Lease Rate — Q2 2026</w:t>
            </w:r>
          </w:p>
        </w:tc>
        <w:tc>
          <w:tcPr>
            <w:tcW w:type="dxa" w:w="1080"/>
          </w:tcPr>
          <w:p>
            <w:r>
              <w:rPr>
                <w:rFonts w:ascii="Calibri" w:hAnsi="Calibri"/>
                <w:sz w:val="22"/>
              </w:rPr>
              <w:t>2.98%</w:t>
            </w:r>
          </w:p>
        </w:tc>
        <w:tc>
          <w:tcPr>
            <w:tcW w:type="dxa" w:w="1080"/>
          </w:tcPr>
          <w:p>
            <w:r>
              <w:rPr>
                <w:rFonts w:ascii="Calibri" w:hAnsi="Calibri"/>
                <w:sz w:val="22"/>
              </w:rPr>
              <w:t>3.06%</w:t>
            </w:r>
          </w:p>
        </w:tc>
        <w:tc>
          <w:tcPr>
            <w:tcW w:type="dxa" w:w="1080"/>
          </w:tcPr>
          <w:p>
            <w:r>
              <w:rPr>
                <w:rFonts w:ascii="Calibri" w:hAnsi="Calibri"/>
                <w:b/>
                <w:color w:val="30A46C"/>
                <w:sz w:val="22"/>
              </w:rPr>
              <w:t>+8 bps</w:t>
            </w:r>
          </w:p>
        </w:tc>
        <w:tc>
          <w:tcPr>
            <w:tcW w:type="dxa" w:w="1080"/>
          </w:tcPr>
          <w:p>
            <w:r>
              <w:rPr>
                <w:rFonts w:ascii="Calibri" w:hAnsi="Calibri"/>
                <w:sz w:val="22"/>
              </w:rPr>
              <w:t>FY: ~2.5% blended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no Q2 range</w:t>
            </w:r>
          </w:p>
        </w:tc>
      </w:tr>
    </w:tbl>
    <w:p>
      <w:r>
        <w:rPr>
          <w:rFonts w:ascii="Calibri" w:hAnsi="Calibri"/>
          <w:i/>
          <w:color w:val="525866"/>
          <w:sz w:val="22"/>
        </w:rPr>
        <w:t>Estimates have moved consistently higher across all KPIs since the Q1 2026 print, with the largest upward revision in SS NOI growth (+35 bps for FY 2026), consistent with management's commentary at REITweek that the portfolio is tracking ahead of guidance. The consensus vs. guidance gap is widest for FY Core FFO (+$0.17 above midpoint), setting up a potential guidance raise on the Q2 call.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ESS has outperformed both VNQ (+9.9% vs. +5.5%) and the S&amp;P 500 (+9.9% vs. +4.1%) since the Q1 2026 earnings print, driven by improving fundamental momentum and a re-rating of West Coast multifamily sentiment — the move appears fundamentals-driven rather than multiple-only, as estimate revisions have also drifted higher.</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ESS vs. VNQ (REIT ETF) vs. S&amp;P 500 (SPY) — Indexed to 100 at Q1 2026 Earnings (April 28, 2026). Source: Stock Price Data.</w:t>
      </w:r>
    </w:p>
    <w:p>
      <w:pPr>
        <w:pStyle w:val="ListBullet"/>
        <w:ind w:left="360" w:hanging="360"/>
      </w:pPr>
      <w:r>
        <w:rPr>
          <w:rFonts w:ascii="Calibri" w:hAnsi="Calibri"/>
          <w:color w:val="525866"/>
          <w:sz w:val="22"/>
        </w:rPr>
        <w:t>ESS +9.9%</w:t>
      </w:r>
      <w:r>
        <w:rPr>
          <w:rFonts w:ascii="Calibri" w:hAnsi="Calibri"/>
          <w:color w:val="525866"/>
          <w:sz w:val="22"/>
        </w:rPr>
        <w:t xml:space="preserve"> since Q1 2026 earnings (Apr 28 close: $267.88 → Jul 28 close: $294.52), outperforming VNQ (+5.5%) and SPY (+4.1%) by a meaningful margin.</w:t>
      </w:r>
    </w:p>
    <w:p>
      <w:pPr>
        <w:pStyle w:val="ListBullet"/>
        <w:ind w:left="360" w:hanging="360"/>
      </w:pPr>
      <w:r>
        <w:rPr>
          <w:rFonts w:ascii="Calibri" w:hAnsi="Calibri"/>
          <w:color w:val="525866"/>
          <w:sz w:val="22"/>
        </w:rPr>
        <w:t>The stock rallied sharply on the Q1 earnings day</w:t>
      </w:r>
      <w:r>
        <w:rPr>
          <w:rFonts w:ascii="Calibri" w:hAnsi="Calibri"/>
          <w:color w:val="525866"/>
          <w:sz w:val="22"/>
        </w:rPr>
        <w:t xml:space="preserve"> (Apr 28 → Apr 29: $267.88 → $264.92, slight pullback day-after as Q2 guidance midpoint came in below prior Street consensus), then grinded higher through May–June as REITweek commentary confirmed improving fundamentals.</w:t>
      </w:r>
    </w:p>
    <w:p>
      <w:pPr>
        <w:pStyle w:val="ListBullet"/>
        <w:ind w:left="360" w:hanging="360"/>
      </w:pPr>
      <w:r>
        <w:rPr>
          <w:rFonts w:ascii="Calibri" w:hAnsi="Calibri"/>
          <w:color w:val="525866"/>
          <w:sz w:val="22"/>
        </w:rPr>
        <w:t>A notable acceleration occurred in late June</w:t>
      </w:r>
      <w:r>
        <w:rPr>
          <w:rFonts w:ascii="Calibri" w:hAnsi="Calibri"/>
          <w:color w:val="525866"/>
          <w:sz w:val="22"/>
        </w:rPr>
        <w:t xml:space="preserve"> (Jun 25–Jun 26: $285.57 → $295.34, +3.4% in one session), coinciding with broader REIT sector strength and improving West Coast apartment data.</w:t>
      </w:r>
    </w:p>
    <w:p>
      <w:pPr>
        <w:pStyle w:val="ListBullet"/>
        <w:ind w:left="360" w:hanging="360"/>
      </w:pPr>
      <w:r>
        <w:rPr>
          <w:rFonts w:ascii="Calibri" w:hAnsi="Calibri"/>
          <w:color w:val="525866"/>
          <w:sz w:val="22"/>
        </w:rPr>
        <w:t>Sector ETF used: VNQ (Vanguard Real Estate ETF)</w:t>
      </w:r>
      <w:r>
        <w:rPr>
          <w:rFonts w:ascii="Calibri" w:hAnsi="Calibri"/>
          <w:color w:val="525866"/>
          <w:sz w:val="22"/>
        </w:rPr>
        <w:t xml:space="preserve"> — appropriate for ESS as a residential REIT with broad real estate sector exposure. ESS's outperformance vs. VNQ reflects idiosyncratic West Coast multifamily re-rating.</w:t>
      </w:r>
    </w:p>
    <w:p>
      <w:pPr>
        <w:pStyle w:val="ListBullet"/>
        <w:ind w:left="360" w:hanging="360"/>
      </w:pPr>
      <w:r>
        <w:rPr>
          <w:rFonts w:ascii="Calibri" w:hAnsi="Calibri"/>
          <w:color w:val="525866"/>
          <w:sz w:val="22"/>
        </w:rPr>
        <w:t>Jefferies upgraded ESS to Strong Buy on July 14</w:t>
      </w:r>
      <w:r>
        <w:rPr>
          <w:rFonts w:ascii="Calibri" w:hAnsi="Calibri"/>
          <w:color w:val="525866"/>
          <w:sz w:val="22"/>
        </w:rPr>
        <w:t>; Piper Sandler raised PT to $352 (Overweight) and Deutsche Bank reiterated Buy ($330 PT) in the days leading up to earnings, reflecting growing sell-side conviction ahead of the print.</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Peer commentary from Q1 2026 earnings calls (April–May 2026) and UDR's Q2 2026 results (reported today, July 28) are broadly positive for ESS — West Coast coastal markets are outperforming Sunbelt, San Francisco is the standout market across multiple peers, and UDR's Q2 beat with a guidance raise is a strong positive read-through for ESS's Q2 print tomorrow.</w:t>
      </w:r>
    </w:p>
    <w:p>
      <w:r>
        <w:rPr>
          <w:rFonts w:ascii="Calibri" w:hAnsi="Calibri"/>
          <w:b/>
          <w:color w:val="525866"/>
          <w:sz w:val="22"/>
        </w:rPr>
        <w:t xml:space="preserve">Note: </w:t>
      </w:r>
      <w:r>
        <w:rPr>
          <w:rFonts w:ascii="Calibri" w:hAnsi="Calibri"/>
          <w:i/>
          <w:color w:val="525866"/>
          <w:sz w:val="22"/>
        </w:rPr>
        <w:t>Only forward-looking commentary about Q2 2026 or beyond, and commentary made after Q1 2026 earnings, is included below. Backward-looking Q1 2026 results discussion from peers is excluded.</w:t>
      </w:r>
    </w:p>
    <w:p>
      <w:pPr>
        <w:pStyle w:val="Heading3"/>
      </w:pPr>
      <w:r>
        <w:rPr>
          <w:rFonts w:ascii="Calibri" w:hAnsi="Calibri"/>
          <w:b/>
          <w:color w:val="3B4259"/>
          <w:sz w:val="24"/>
        </w:rPr>
        <w:t>UDR (UDR) — Q2 2026 Earnings (Reported July 28, 2026) — STRONGEST READ-THROUGH</w:t>
      </w:r>
    </w:p>
    <w:p>
      <w:r>
        <w:rPr>
          <w:rFonts w:ascii="Calibri" w:hAnsi="Calibri"/>
          <w:b/>
          <w:color w:val="525866"/>
          <w:sz w:val="22"/>
        </w:rPr>
        <w:t xml:space="preserve">UDR reported Q2 2026 results today (July 28) that beat expectations and raised full-year guidance — the most direct and timely read-through for ESS's Q2 print tomorrow. UDR's coastal markets (75% of NOI) led performance with </w:t>
      </w:r>
      <w:r>
        <w:rPr>
          <w:rFonts w:ascii="Calibri" w:hAnsi="Calibri"/>
          <w:color w:val="525866"/>
          <w:sz w:val="22"/>
        </w:rPr>
        <w:t>3.8% blended lease rate growth in Q2</w:t>
      </w:r>
      <w:r>
        <w:rPr>
          <w:rFonts w:ascii="Calibri" w:hAnsi="Calibri"/>
          <w:color w:val="525866"/>
          <w:sz w:val="22"/>
        </w:rPr>
        <w:t>, contrasting sharply with −2% blends in the Sunbelt. Key read-throughs for ESS:</w:t>
      </w:r>
    </w:p>
    <w:p>
      <w:pPr>
        <w:pStyle w:val="ListBullet"/>
        <w:ind w:left="360" w:hanging="360"/>
      </w:pPr>
      <w:r>
        <w:rPr>
          <w:rFonts w:ascii="Calibri" w:hAnsi="Calibri"/>
          <w:color w:val="525866"/>
          <w:sz w:val="22"/>
        </w:rPr>
        <w:t>San Francisco: Standout market with ~13% blended lease rate growth and high-97% occupancy</w:t>
      </w:r>
      <w:r>
        <w:rPr>
          <w:rFonts w:ascii="Calibri" w:hAnsi="Calibri"/>
          <w:color w:val="525866"/>
          <w:sz w:val="22"/>
        </w:rPr>
        <w:t xml:space="preserve"> — driven by very little supply, return-to-office, revitalized retail/dining, and low rent-to-income ratios. Office leasing is on pace for a 30-year high (6.4M sq ft YTD). This is a direct positive read-through for ESS's Northern California portfolio, which is its best-performing region.</w:t>
      </w:r>
    </w:p>
    <w:p>
      <w:pPr>
        <w:pStyle w:val="ListBullet"/>
        <w:ind w:left="360" w:hanging="360"/>
      </w:pPr>
      <w:r>
        <w:rPr>
          <w:rFonts w:ascii="Calibri" w:hAnsi="Calibri"/>
          <w:color w:val="525866"/>
          <w:sz w:val="22"/>
        </w:rPr>
        <w:t>Oakland: UDR's best-performing asset in the SF market, with 14% revenue growth vs. 8% for SF overall</w:t>
      </w:r>
      <w:r>
        <w:rPr>
          <w:rFonts w:ascii="Calibri" w:hAnsi="Calibri"/>
          <w:color w:val="525866"/>
          <w:sz w:val="22"/>
        </w:rPr>
        <w:t xml:space="preserve"> and rents up ~20% vs. 13% across the rest of the MSA — consistent with ESS management's June REITweek commentary calling Oakland the “most underappreciated Essex market.”</w:t>
      </w:r>
    </w:p>
    <w:p>
      <w:pPr>
        <w:pStyle w:val="ListBullet"/>
        <w:ind w:left="360" w:hanging="360"/>
      </w:pPr>
      <w:r>
        <w:rPr>
          <w:rFonts w:ascii="Calibri" w:hAnsi="Calibri"/>
          <w:color w:val="525866"/>
          <w:sz w:val="22"/>
        </w:rPr>
        <w:t>Orange County (SoCal): Delivered blended lease rate growth of more than 3%</w:t>
      </w:r>
      <w:r>
        <w:rPr>
          <w:rFonts w:ascii="Calibri" w:hAnsi="Calibri"/>
          <w:color w:val="525866"/>
          <w:sz w:val="22"/>
        </w:rPr>
        <w:t xml:space="preserve"> — positive for ESS's Southern California portfolio.</w:t>
      </w:r>
    </w:p>
    <w:p>
      <w:pPr>
        <w:pStyle w:val="ListBullet"/>
        <w:ind w:left="360" w:hanging="360"/>
      </w:pPr>
      <w:r>
        <w:rPr>
          <w:rFonts w:ascii="Calibri" w:hAnsi="Calibri"/>
          <w:color w:val="525866"/>
          <w:sz w:val="22"/>
        </w:rPr>
        <w:t>Seattle: Described as “fundamentally resilient”</w:t>
      </w:r>
      <w:r>
        <w:rPr>
          <w:rFonts w:ascii="Calibri" w:hAnsi="Calibri"/>
          <w:color w:val="525866"/>
          <w:sz w:val="22"/>
        </w:rPr>
        <w:t xml:space="preserve"> with private sector momentum in tech and biotech; urban core outperforming suburban. Consistent with ESS's improving Seattle narrative.</w:t>
      </w:r>
    </w:p>
    <w:p>
      <w:pPr>
        <w:pStyle w:val="ListBullet"/>
        <w:ind w:left="360" w:hanging="360"/>
      </w:pPr>
      <w:r>
        <w:rPr>
          <w:rFonts w:ascii="Calibri" w:hAnsi="Calibri"/>
          <w:color w:val="525866"/>
          <w:sz w:val="22"/>
        </w:rPr>
        <w:t>Full-year guidance raised: UDR raised FY 2026 same-store revenue growth midpoint by 12.5 bps and FFO by $0.01/share</w:t>
      </w:r>
      <w:r>
        <w:rPr>
          <w:rFonts w:ascii="Calibri" w:hAnsi="Calibri"/>
          <w:color w:val="525866"/>
          <w:sz w:val="22"/>
        </w:rPr>
        <w:t xml:space="preserve"> — a positive signal for ESS's own guidance trajectory.</w:t>
      </w:r>
    </w:p>
    <w:p>
      <w:pPr>
        <w:pStyle w:val="ListBullet"/>
        <w:ind w:left="360" w:hanging="360"/>
      </w:pPr>
      <w:r>
        <w:rPr>
          <w:rFonts w:ascii="Calibri" w:hAnsi="Calibri"/>
          <w:color w:val="525866"/>
          <w:sz w:val="22"/>
        </w:rPr>
        <w:t>Resident retention at all-time seasonal high of 60% (140 bps better YoY)</w:t>
      </w:r>
      <w:r>
        <w:rPr>
          <w:rFonts w:ascii="Calibri" w:hAnsi="Calibri"/>
          <w:color w:val="525866"/>
          <w:sz w:val="22"/>
        </w:rPr>
        <w:t>; renewal notices being sent at 5%–5.5% with ~4% expected for Q3 — consistent with ESS's summer renewal strategy.</w:t>
      </w:r>
    </w:p>
    <w:p>
      <w:pPr>
        <w:pStyle w:val="ListBullet"/>
        <w:ind w:left="360" w:hanging="360"/>
      </w:pPr>
      <w:r>
        <w:rPr>
          <w:rFonts w:ascii="Calibri" w:hAnsi="Calibri"/>
          <w:color w:val="525866"/>
          <w:sz w:val="22"/>
        </w:rPr>
        <w:t>Early Q3 results tracking similar to Q2</w:t>
      </w:r>
      <w:r>
        <w:rPr>
          <w:rFonts w:ascii="Calibri" w:hAnsi="Calibri"/>
          <w:color w:val="525866"/>
          <w:sz w:val="22"/>
        </w:rPr>
        <w:t xml:space="preserve"> — suggests the positive momentum is not fading into the back half.</w:t>
      </w:r>
    </w:p>
    <w:p>
      <w:pPr>
        <w:pStyle w:val="Heading3"/>
      </w:pPr>
      <w:r>
        <w:rPr>
          <w:rFonts w:ascii="Calibri" w:hAnsi="Calibri"/>
          <w:b/>
          <w:color w:val="3B4259"/>
          <w:sz w:val="24"/>
        </w:rPr>
        <w:t>Equity Residential (EQR) — Q1 2026 Earnings Call (April 29, 2026) — Forward-Looking Commentary</w:t>
      </w:r>
    </w:p>
    <w:p>
      <w:r>
        <w:rPr>
          <w:rFonts w:ascii="Calibri" w:hAnsi="Calibri"/>
          <w:color w:val="525866"/>
          <w:sz w:val="22"/>
        </w:rPr>
        <w:t>EQR's Q2 2026 outlook and forward-looking commentary from its Q1 call are relevant read-throughs for ESS:</w:t>
      </w:r>
    </w:p>
    <w:p>
      <w:pPr>
        <w:pStyle w:val="ListBullet"/>
        <w:ind w:left="360" w:hanging="360"/>
      </w:pPr>
      <w:r>
        <w:rPr>
          <w:rFonts w:ascii="Calibri" w:hAnsi="Calibri"/>
          <w:color w:val="525866"/>
          <w:sz w:val="22"/>
        </w:rPr>
        <w:t>Q2 2026 outlook: EQR expected a “sequential build in new lease change” and “strong stable performance in retention and achieved renewal rate increases”</w:t>
      </w:r>
      <w:r>
        <w:rPr>
          <w:rFonts w:ascii="Calibri" w:hAnsi="Calibri"/>
          <w:color w:val="525866"/>
          <w:sz w:val="22"/>
        </w:rPr>
        <w:t xml:space="preserve"> heading into Q2 — consistent with ESS's own April/May trajectory (blended rates 3.1% in April, 3.7% in May).</w:t>
      </w:r>
    </w:p>
    <w:p>
      <w:pPr>
        <w:pStyle w:val="ListBullet"/>
        <w:ind w:left="360" w:hanging="360"/>
      </w:pPr>
      <w:r>
        <w:rPr>
          <w:rFonts w:ascii="Calibri" w:hAnsi="Calibri"/>
          <w:color w:val="525866"/>
          <w:sz w:val="22"/>
        </w:rPr>
        <w:t>San Francisco: “Tremendous growth in AI is making San Francisco, particularly the downtown, the place to be”</w:t>
      </w:r>
      <w:r>
        <w:rPr>
          <w:rFonts w:ascii="Calibri" w:hAnsi="Calibri"/>
          <w:color w:val="525866"/>
          <w:sz w:val="22"/>
        </w:rPr>
        <w:t xml:space="preserve"> — EQR noted concession use in downtown SF (22% of NOI) is “virtually nonexistent” and the market will deliver “almost no new competitive supply in 2026.” Rents downtown have only recently moved above pre-COVID levels while nominal wages are up 30% since 2019, suggesting “room to run.” Direct positive for ESS's Northern California portfolio.</w:t>
      </w:r>
    </w:p>
    <w:p>
      <w:pPr>
        <w:pStyle w:val="ListBullet"/>
        <w:ind w:left="360" w:hanging="360"/>
      </w:pPr>
      <w:r>
        <w:rPr>
          <w:rFonts w:ascii="Calibri" w:hAnsi="Calibri"/>
          <w:color w:val="525866"/>
          <w:sz w:val="22"/>
        </w:rPr>
        <w:t>Concessions expected to materially decline in H2 2026</w:t>
      </w:r>
      <w:r>
        <w:rPr>
          <w:rFonts w:ascii="Calibri" w:hAnsi="Calibri"/>
          <w:color w:val="525866"/>
          <w:sz w:val="22"/>
        </w:rPr>
        <w:t xml:space="preserve"> as supply drops — EQR guided for ~20% full-year reduction in concessions vs. 2025, with H2 seeing the bulk of the improvement. Positive for ESS's same-store revenue trajectory.</w:t>
      </w:r>
    </w:p>
    <w:p>
      <w:pPr>
        <w:pStyle w:val="ListBullet"/>
        <w:ind w:left="360" w:hanging="360"/>
      </w:pPr>
      <w:r>
        <w:rPr>
          <w:rFonts w:ascii="Calibri" w:hAnsi="Calibri"/>
          <w:color w:val="525866"/>
          <w:sz w:val="22"/>
        </w:rPr>
        <w:t>Los Angeles: EQR maintained “muted expectations” with no near-term catalyst</w:t>
      </w:r>
      <w:r>
        <w:rPr>
          <w:rFonts w:ascii="Calibri" w:hAnsi="Calibri"/>
          <w:color w:val="525866"/>
          <w:sz w:val="22"/>
        </w:rPr>
        <w:t xml:space="preserve"> — consistent with ESS's “glacial pace” characterization. EQR noted stable occupancy and a flat pricing trend curve YoY, with fewer concessions in downtown/Koreatown vs. last year.</w:t>
      </w:r>
    </w:p>
    <w:p>
      <w:pPr>
        <w:pStyle w:val="ListBullet"/>
        <w:ind w:left="360" w:hanging="360"/>
      </w:pPr>
      <w:r>
        <w:rPr>
          <w:rFonts w:ascii="Calibri" w:hAnsi="Calibri"/>
          <w:color w:val="525866"/>
          <w:sz w:val="22"/>
        </w:rPr>
        <w:t>Seattle: EQR expected “a couple more quarters” before Seattle fully follows SF's trend</w:t>
      </w:r>
      <w:r>
        <w:rPr>
          <w:rFonts w:ascii="Calibri" w:hAnsi="Calibri"/>
          <w:color w:val="525866"/>
          <w:sz w:val="22"/>
        </w:rPr>
        <w:t>, but liked the setup and recovery potential, noting Bellevue/Redmond showing good traction with positive YoY rents and very limited concessions.</w:t>
      </w:r>
    </w:p>
    <w:p>
      <w:pPr>
        <w:pStyle w:val="ListBullet"/>
        <w:ind w:left="360" w:hanging="360"/>
      </w:pPr>
      <w:r>
        <w:rPr>
          <w:rFonts w:ascii="Calibri" w:hAnsi="Calibri"/>
          <w:color w:val="525866"/>
          <w:sz w:val="22"/>
        </w:rPr>
        <w:t>Deliveries in EQR markets expected down 35% in 2026 vs. 2025</w:t>
      </w:r>
      <w:r>
        <w:rPr>
          <w:rFonts w:ascii="Calibri" w:hAnsi="Calibri"/>
          <w:color w:val="525866"/>
          <w:sz w:val="22"/>
        </w:rPr>
        <w:t xml:space="preserve"> — a structural tailwind shared with ESS's West Coast markets.</w:t>
      </w:r>
    </w:p>
    <w:p>
      <w:pPr>
        <w:pStyle w:val="Heading3"/>
      </w:pPr>
      <w:r>
        <w:rPr>
          <w:rFonts w:ascii="Calibri" w:hAnsi="Calibri"/>
          <w:b/>
          <w:color w:val="3B4259"/>
          <w:sz w:val="24"/>
        </w:rPr>
        <w:t>AvalonBay Communities (AVB) — Q1 2026 Earnings Call (April 28, 2026) — Forward-Looking Commentary</w:t>
      </w:r>
    </w:p>
    <w:p>
      <w:r>
        <w:rPr>
          <w:rFonts w:ascii="Calibri" w:hAnsi="Calibri"/>
          <w:color w:val="525866"/>
          <w:sz w:val="22"/>
        </w:rPr>
        <w:t>AVB's forward-looking commentary from its Q1 call provides additional read-throughs for ESS's Q2 setup:</w:t>
      </w:r>
    </w:p>
    <w:p>
      <w:pPr>
        <w:pStyle w:val="ListBullet"/>
        <w:ind w:left="360" w:hanging="360"/>
      </w:pPr>
      <w:r>
        <w:rPr>
          <w:rFonts w:ascii="Calibri" w:hAnsi="Calibri"/>
          <w:color w:val="525866"/>
          <w:sz w:val="22"/>
        </w:rPr>
        <w:t>Asking rent growth tracking in the high 4% range since January 1</w:t>
      </w:r>
      <w:r>
        <w:rPr>
          <w:rFonts w:ascii="Calibri" w:hAnsi="Calibri"/>
          <w:color w:val="525866"/>
          <w:sz w:val="22"/>
        </w:rPr>
        <w:t xml:space="preserve"> — “well ahead of what we realized in 2025,” with renewal offers for May/June delivered at 5%–5.5% (100 bps higher than Feb/March offers). Positive for ESS's renewal rate trajectory.</w:t>
      </w:r>
    </w:p>
    <w:p>
      <w:pPr>
        <w:pStyle w:val="ListBullet"/>
        <w:ind w:left="360" w:hanging="360"/>
      </w:pPr>
      <w:r>
        <w:rPr>
          <w:rFonts w:ascii="Calibri" w:hAnsi="Calibri"/>
          <w:color w:val="525866"/>
          <w:sz w:val="22"/>
        </w:rPr>
        <w:t>Northern California: Revenue growth slightly ahead of budget through Q1</w:t>
      </w:r>
      <w:r>
        <w:rPr>
          <w:rFonts w:ascii="Calibri" w:hAnsi="Calibri"/>
          <w:color w:val="525866"/>
          <w:sz w:val="22"/>
        </w:rPr>
        <w:t>; SF the strongest market, followed by San Jose, with East Bay beginning to spill over. Concessions in NorCal down meaningfully YoY. Consistent with ESS's Northern California outperformance narrative.</w:t>
      </w:r>
    </w:p>
    <w:p>
      <w:pPr>
        <w:pStyle w:val="ListBullet"/>
        <w:ind w:left="360" w:hanging="360"/>
      </w:pPr>
      <w:r>
        <w:rPr>
          <w:rFonts w:ascii="Calibri" w:hAnsi="Calibri"/>
          <w:color w:val="525866"/>
          <w:sz w:val="22"/>
        </w:rPr>
        <w:t>Turnover at record lows (31% in Q1, well below historical ~40s)</w:t>
      </w:r>
      <w:r>
        <w:rPr>
          <w:rFonts w:ascii="Calibri" w:hAnsi="Calibri"/>
          <w:color w:val="525866"/>
          <w:sz w:val="22"/>
        </w:rPr>
        <w:t xml:space="preserve"> — driven by 8% of residents moving out to purchase homes (historically low) and declining supply. Low turnover supports pricing power and reduces re-leasing costs.</w:t>
      </w:r>
    </w:p>
    <w:p>
      <w:pPr>
        <w:pStyle w:val="ListBullet"/>
        <w:ind w:left="360" w:hanging="360"/>
      </w:pPr>
      <w:r>
        <w:rPr>
          <w:rFonts w:ascii="Calibri" w:hAnsi="Calibri"/>
          <w:color w:val="525866"/>
          <w:sz w:val="22"/>
        </w:rPr>
        <w:t>Supply backdrop “very constructive”</w:t>
      </w:r>
      <w:r>
        <w:rPr>
          <w:rFonts w:ascii="Calibri" w:hAnsi="Calibri"/>
          <w:color w:val="525866"/>
          <w:sz w:val="22"/>
        </w:rPr>
        <w:t xml:space="preserve"> — new market-rate deliveries in established regions down to 80 bps and expected to dip further. AVB affirmed full-year guidance but signaled it would revisit on the Q2 call after peak leasing season visibility — same posture as ESS.</w:t>
      </w:r>
    </w:p>
    <w:p>
      <w:pPr>
        <w:pStyle w:val="ListBullet"/>
        <w:ind w:left="360" w:hanging="360"/>
      </w:pPr>
      <w:r>
        <w:rPr>
          <w:rFonts w:ascii="Calibri" w:hAnsi="Calibri"/>
          <w:color w:val="525866"/>
          <w:sz w:val="22"/>
        </w:rPr>
        <w:t>Los Angeles: Modestly underperformed revenue expectations in Q1</w:t>
      </w:r>
      <w:r>
        <w:rPr>
          <w:rFonts w:ascii="Calibri" w:hAnsi="Calibri"/>
          <w:color w:val="525866"/>
          <w:sz w:val="22"/>
        </w:rPr>
        <w:t>; no clear near-term catalysts. Concessions in LA up YoY. Consistent with ESS's LA characterization.</w:t>
      </w:r>
    </w:p>
    <w:p>
      <w:pPr>
        <w:pStyle w:val="ListBullet"/>
        <w:ind w:left="360" w:hanging="360"/>
      </w:pPr>
      <w:r>
        <w:rPr>
          <w:rFonts w:ascii="Calibri" w:hAnsi="Calibri"/>
          <w:color w:val="525866"/>
          <w:sz w:val="22"/>
        </w:rPr>
        <w:t>Rent change expected to average 2% for calendar 2026</w:t>
      </w:r>
      <w:r>
        <w:rPr>
          <w:rFonts w:ascii="Calibri" w:hAnsi="Calibri"/>
          <w:color w:val="525866"/>
          <w:sz w:val="22"/>
        </w:rPr>
        <w:t xml:space="preserve"> (H1: 1.25%, H2: 2.5%), with April tracking in the high 1% range — “in good shape” to meet H1 blended target.</w:t>
      </w:r>
    </w:p>
    <w:p>
      <w:pPr>
        <w:pStyle w:val="Heading3"/>
      </w:pPr>
      <w:r>
        <w:rPr>
          <w:rFonts w:ascii="Calibri" w:hAnsi="Calibri"/>
          <w:b/>
          <w:color w:val="3B4259"/>
          <w:sz w:val="24"/>
        </w:rPr>
        <w:t>UDR (UDR) — Q1 2026 Earnings Call (April 30, 2026) — Forward-Looking Commentary</w:t>
      </w:r>
    </w:p>
    <w:p>
      <w:r>
        <w:rPr>
          <w:rFonts w:ascii="Calibri" w:hAnsi="Calibri"/>
          <w:color w:val="525866"/>
          <w:sz w:val="22"/>
        </w:rPr>
        <w:t>UDR's Q1 2026 call forward-looking commentary (before today's Q2 results) provided early signals:</w:t>
      </w:r>
    </w:p>
    <w:p>
      <w:pPr>
        <w:pStyle w:val="ListBullet"/>
        <w:ind w:left="360" w:hanging="360"/>
      </w:pPr>
      <w:r>
        <w:rPr>
          <w:rFonts w:ascii="Calibri" w:hAnsi="Calibri"/>
          <w:color w:val="525866"/>
          <w:sz w:val="22"/>
        </w:rPr>
        <w:t>Q2 2026 blended lease rate guidance: 1.5%–2.0% with occupancy in mid-96% range</w:t>
      </w:r>
      <w:r>
        <w:rPr>
          <w:rFonts w:ascii="Calibri" w:hAnsi="Calibri"/>
          <w:color w:val="525866"/>
          <w:sz w:val="22"/>
        </w:rPr>
        <w:t xml:space="preserve"> — UDR's coastal regions (75% of NOI) were already showing 3.1% blended rates in April, an acceleration from 2.8% in Q1. This foreshadowed the strong Q2 coastal performance reported today.</w:t>
      </w:r>
    </w:p>
    <w:p>
      <w:pPr>
        <w:pStyle w:val="ListBullet"/>
        <w:ind w:left="360" w:hanging="360"/>
      </w:pPr>
      <w:r>
        <w:rPr>
          <w:rFonts w:ascii="Calibri" w:hAnsi="Calibri"/>
          <w:color w:val="525866"/>
          <w:sz w:val="22"/>
        </w:rPr>
        <w:t>San Francisco: “Standout market with the strongest revenue growth”</w:t>
      </w:r>
      <w:r>
        <w:rPr>
          <w:rFonts w:ascii="Calibri" w:hAnsi="Calibri"/>
          <w:color w:val="525866"/>
          <w:sz w:val="22"/>
        </w:rPr>
        <w:t xml:space="preserve"> — ~10% blended lease rate growth and high-97% occupancy in Q1. Forward indicators showed “continued strength.” Return-to-office driving more migration closer to work, particularly in SOMA/downtown. AI growth “more specific in that downtown SOMA area.”</w:t>
      </w:r>
    </w:p>
    <w:p>
      <w:pPr>
        <w:pStyle w:val="ListBullet"/>
        <w:ind w:left="360" w:hanging="360"/>
      </w:pPr>
      <w:r>
        <w:rPr>
          <w:rFonts w:ascii="Calibri" w:hAnsi="Calibri"/>
          <w:color w:val="525866"/>
          <w:sz w:val="22"/>
        </w:rPr>
        <w:t>Portland: Highlighted as one of UDR's better markets from a demand-supply perspective</w:t>
      </w:r>
      <w:r>
        <w:rPr>
          <w:rFonts w:ascii="Calibri" w:hAnsi="Calibri"/>
          <w:color w:val="525866"/>
          <w:sz w:val="22"/>
        </w:rPr>
        <w:t xml:space="preserve"> — 2026 job forecasts doubled since start of year, wage growth acceleration “best within market footprint,” deliveries only 0.7% of stock. While not an ESS market, signals broader West Coast demand strength.</w:t>
      </w:r>
    </w:p>
    <w:p>
      <w:pPr>
        <w:pStyle w:val="ListBullet"/>
        <w:ind w:left="360" w:hanging="360"/>
      </w:pPr>
      <w:r>
        <w:rPr>
          <w:rFonts w:ascii="Calibri" w:hAnsi="Calibri"/>
          <w:color w:val="525866"/>
          <w:sz w:val="22"/>
        </w:rPr>
        <w:t>Occupancy strategy: UDR planned to let occupancy “come down in Q2/Q3 when more demand/traffic”</w:t>
      </w:r>
      <w:r>
        <w:rPr>
          <w:rFonts w:ascii="Calibri" w:hAnsi="Calibri"/>
          <w:color w:val="525866"/>
          <w:sz w:val="22"/>
        </w:rPr>
        <w:t xml:space="preserve"> to enable more aggressive rent adjustments — consistent with ESS's shift from occupancy-focused to rent-growth-focused strategy heading into peak leasing season.</w:t>
      </w:r>
    </w:p>
    <w:p>
      <w:pPr>
        <w:pStyle w:val="Heading3"/>
      </w:pPr>
      <w:r>
        <w:rPr>
          <w:rFonts w:ascii="Calibri" w:hAnsi="Calibri"/>
          <w:b/>
          <w:color w:val="3B4259"/>
          <w:sz w:val="24"/>
        </w:rPr>
        <w:t>Camden Property Trust (CPT) — Q1 2026 Earnings Call (May 1, 2026) — Contrarian Read-Through</w:t>
      </w:r>
    </w:p>
    <w:p>
      <w:r>
        <w:rPr>
          <w:rFonts w:ascii="Calibri" w:hAnsi="Calibri"/>
          <w:color w:val="525866"/>
          <w:sz w:val="22"/>
        </w:rPr>
        <w:t>CPT's commentary is a contrarian read-through — as a Sunbelt-focused REIT actively divesting California, its views on West Coast markets are bearish but provide useful context:</w:t>
      </w:r>
    </w:p>
    <w:p>
      <w:pPr>
        <w:pStyle w:val="ListBullet"/>
        <w:ind w:left="360" w:hanging="360"/>
      </w:pPr>
      <w:r>
        <w:rPr>
          <w:rFonts w:ascii="Calibri" w:hAnsi="Calibri"/>
          <w:color w:val="525866"/>
          <w:sz w:val="22"/>
        </w:rPr>
        <w:t>CPT is strategically selling its California portfolio</w:t>
      </w:r>
      <w:r>
        <w:rPr>
          <w:rFonts w:ascii="Calibri" w:hAnsi="Calibri"/>
          <w:color w:val="525866"/>
          <w:sz w:val="22"/>
        </w:rPr>
        <w:t xml:space="preserve"> — reinvesting ~60% of proceeds into Sunbelt markets, explicitly characterizing California as not “high-demand, high-growth.” This is a negative sentiment signal, though CPT's California exposure is being reduced precisely because it is not a core market for them.</w:t>
      </w:r>
    </w:p>
    <w:p>
      <w:pPr>
        <w:pStyle w:val="ListBullet"/>
        <w:ind w:left="360" w:hanging="360"/>
      </w:pPr>
      <w:r>
        <w:rPr>
          <w:rFonts w:ascii="Calibri" w:hAnsi="Calibri"/>
          <w:color w:val="525866"/>
          <w:sz w:val="22"/>
        </w:rPr>
        <w:t>Demand factors favor Sunbelt “over the coast”</w:t>
      </w:r>
      <w:r>
        <w:rPr>
          <w:rFonts w:ascii="Calibri" w:hAnsi="Calibri"/>
          <w:color w:val="525866"/>
          <w:sz w:val="22"/>
        </w:rPr>
        <w:t xml:space="preserve"> — CPT cited CBRE data showing 100+ HQ relocations to Dallas-Fort Worth since 2018, with 11 more in 2025 from LA and Bay Area. Domestic migration reaccelerating in Sunbelt markets (Austin, Dallas, Houston, etc.) at 10%+ sequential annual increases.</w:t>
      </w:r>
    </w:p>
    <w:p>
      <w:pPr>
        <w:pStyle w:val="ListBullet"/>
        <w:ind w:left="360" w:hanging="360"/>
      </w:pPr>
      <w:r>
        <w:rPr>
          <w:rFonts w:ascii="Calibri" w:hAnsi="Calibri"/>
          <w:color w:val="525866"/>
          <w:sz w:val="22"/>
        </w:rPr>
        <w:t>Supply reduction is a shared positive: New supply in CPT's markets cut in half</w:t>
      </w:r>
      <w:r>
        <w:rPr>
          <w:rFonts w:ascii="Calibri" w:hAnsi="Calibri"/>
          <w:color w:val="525866"/>
          <w:sz w:val="22"/>
        </w:rPr>
        <w:t xml:space="preserve"> — from 200K completions in 2025 to ~140–150K in 2026, then 135K in 2027 and 120K in 2028. While CPT's markets are Sunbelt, the supply reduction dynamic is even more pronounced in ESS's West Coast markets (40 bps of total supply vs. normal 70 bps).</w:t>
      </w:r>
    </w:p>
    <w:p>
      <w:pPr>
        <w:pStyle w:val="ListBullet"/>
        <w:ind w:left="360" w:hanging="360"/>
      </w:pPr>
      <w:r>
        <w:rPr>
          <w:rFonts w:ascii="Calibri" w:hAnsi="Calibri"/>
          <w:color w:val="525866"/>
          <w:sz w:val="22"/>
        </w:rPr>
        <w:t>April blended rates up ~100 bps vs. Q1 across CPT's Sunbelt portfolio</w:t>
      </w:r>
      <w:r>
        <w:rPr>
          <w:rFonts w:ascii="Calibri" w:hAnsi="Calibri"/>
          <w:color w:val="525866"/>
          <w:sz w:val="22"/>
        </w:rPr>
        <w:t xml:space="preserve"> — with “green shoots” in Atlanta, Dallas, Orlando, Nashville, Raleigh, and Southeast Florida. The Sunbelt improvement is a macro positive for apartment demand broadly, even if ESS's West Coast markets are structurally different.</w:t>
      </w:r>
    </w:p>
    <w:p>
      <w:r>
        <w:rPr>
          <w:rFonts w:ascii="Calibri" w:hAnsi="Calibri"/>
          <w:b/>
          <w:color w:val="525866"/>
          <w:sz w:val="22"/>
        </w:rPr>
        <w:t xml:space="preserve">Overall Read-Through Assessment: </w:t>
      </w:r>
      <w:r>
        <w:rPr>
          <w:rFonts w:ascii="Calibri" w:hAnsi="Calibri"/>
          <w:color w:val="525866"/>
          <w:sz w:val="22"/>
        </w:rPr>
        <w:t>The peer commentary mosaic is strongly positive for ESS's Q2 print. UDR's Q2 beat and guidance raise (reported today) is the most direct and timely signal — coastal markets outperformed with 3.8% blended lease rate growth, San Francisco showed ~13% blended rates, and early Q3 trends are tracking similarly. EQR and AVB's forward-looking commentary from Q1 calls pointed to sequential improvement in new lease change, declining concessions, and strong renewal rates heading into Q2 — all consistent with ESS's May data points. The only cautionary note is CPT's strategic exit from California, which reflects a different investment thesis rather than a fundamental deterioration in West Coast apartment demand.</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accelerating blended lease rate trajectory confirmed at REITweek (3.7% in May vs. 3.1% in April), combined with UDR's Q2 beat reported today — together these set up a high-probability beat and potential guidance raise for ESS tomorrow.</w:t>
      </w:r>
    </w:p>
    <w:p>
      <w:pPr>
        <w:pStyle w:val="ListBullet"/>
        <w:ind w:left="360" w:hanging="360"/>
      </w:pPr>
      <w:r>
        <w:rPr>
          <w:rFonts w:ascii="Calibri" w:hAnsi="Calibri"/>
          <w:b/>
          <w:color w:val="525866"/>
          <w:sz w:val="22"/>
        </w:rPr>
        <w:t xml:space="preserve">July 28, 2026 — UDR Q2 2026 Beat &amp; Guidance Raise (Peer Read-Through): </w:t>
      </w:r>
      <w:r>
        <w:rPr>
          <w:rFonts w:ascii="Calibri" w:hAnsi="Calibri"/>
          <w:i/>
          <w:color w:val="525866"/>
          <w:sz w:val="22"/>
        </w:rPr>
        <w:t xml:space="preserve">UDR reported Q2 results today that exceeded expectations, raising FY 2026 same-store revenue growth and FFO guidance. Coastal markets delivered 3.8% blended lease rate growth in Q2 vs. −2% in Sunbelt. San Francisco showed ~13% blended rates. Early Q3 tracking similarly. </w:t>
      </w:r>
      <w:r>
        <w:rPr>
          <w:rFonts w:ascii="Calibri" w:hAnsi="Calibri"/>
          <w:color w:val="525866"/>
          <w:sz w:val="22"/>
        </w:rPr>
        <w:t>Implication: Strongest possible positive read-through for ESS's Q2 print tomorrow; suggests West Coast apartment fundamentals were robust through the quarter.</w:t>
      </w:r>
    </w:p>
    <w:p>
      <w:pPr>
        <w:pStyle w:val="ListBullet"/>
        <w:ind w:left="360" w:hanging="360"/>
      </w:pPr>
      <w:r>
        <w:rPr>
          <w:rFonts w:ascii="Calibri" w:hAnsi="Calibri"/>
          <w:b/>
          <w:color w:val="525866"/>
          <w:sz w:val="22"/>
        </w:rPr>
        <w:t xml:space="preserve">July 14, 2026 — Jefferies Upgrades ESS to Strong Buy: </w:t>
      </w:r>
      <w:r>
        <w:rPr>
          <w:rFonts w:ascii="Calibri" w:hAnsi="Calibri"/>
          <w:i/>
          <w:color w:val="525866"/>
          <w:sz w:val="22"/>
        </w:rPr>
        <w:t xml:space="preserve">Jefferies raised ESS from Hold to Strong Buy ahead of Q2 earnings, reflecting growing conviction in West Coast multifamily fundamentals and ESS's positioning as the only pure-play coastal multifamily REIT post-AVB/EQR merger. </w:t>
      </w:r>
      <w:r>
        <w:rPr>
          <w:rFonts w:ascii="Calibri" w:hAnsi="Calibri"/>
          <w:color w:val="525866"/>
          <w:sz w:val="22"/>
        </w:rPr>
        <w:t>Implication: Sell-side sentiment inflecting positively; adds to stock momentum heading into the print.</w:t>
      </w:r>
    </w:p>
    <w:p>
      <w:pPr>
        <w:pStyle w:val="ListBullet"/>
        <w:ind w:left="360" w:hanging="360"/>
      </w:pPr>
      <w:r>
        <w:rPr>
          <w:rFonts w:ascii="Calibri" w:hAnsi="Calibri"/>
          <w:b/>
          <w:color w:val="525866"/>
          <w:sz w:val="22"/>
        </w:rPr>
        <w:t xml:space="preserve">July 28, 2026 — Piper Sandler Raises PT to $352 (Overweight): </w:t>
      </w:r>
      <w:r>
        <w:rPr>
          <w:rFonts w:ascii="Calibri" w:hAnsi="Calibri"/>
          <w:i/>
          <w:color w:val="525866"/>
          <w:sz w:val="22"/>
        </w:rPr>
        <w:t xml:space="preserve">Piper Sandler increased its price target on ESS to $352 (from $310), maintaining Overweight rating. </w:t>
      </w:r>
      <w:r>
        <w:rPr>
          <w:rFonts w:ascii="Calibri" w:hAnsi="Calibri"/>
          <w:color w:val="525866"/>
          <w:sz w:val="22"/>
        </w:rPr>
        <w:t>Implication: Implies ~20% upside from current levels; reflects confidence in a beat and guidance raise.</w:t>
      </w:r>
    </w:p>
    <w:p>
      <w:pPr>
        <w:pStyle w:val="ListBullet"/>
        <w:ind w:left="360" w:hanging="360"/>
      </w:pPr>
      <w:r>
        <w:rPr>
          <w:rFonts w:ascii="Calibri" w:hAnsi="Calibri"/>
          <w:b/>
          <w:color w:val="525866"/>
          <w:sz w:val="22"/>
        </w:rPr>
        <w:t xml:space="preserve">July 28, 2026 — Deutsche Bank Reiterates Buy ($330 PT): </w:t>
      </w:r>
      <w:r>
        <w:rPr>
          <w:rFonts w:ascii="Calibri" w:hAnsi="Calibri"/>
          <w:i/>
          <w:color w:val="525866"/>
          <w:sz w:val="22"/>
        </w:rPr>
        <w:t xml:space="preserve">Deutsche Bank reissued a Buy rating with a $330 price objective on ESS. </w:t>
      </w:r>
      <w:r>
        <w:rPr>
          <w:rFonts w:ascii="Calibri" w:hAnsi="Calibri"/>
          <w:color w:val="525866"/>
          <w:sz w:val="22"/>
        </w:rPr>
        <w:t>Implication: Broad sell-side buy-side consensus heading into the print.</w:t>
      </w:r>
    </w:p>
    <w:p>
      <w:pPr>
        <w:pStyle w:val="ListBullet"/>
        <w:ind w:left="360" w:hanging="360"/>
      </w:pPr>
      <w:r>
        <w:rPr>
          <w:rFonts w:ascii="Calibri" w:hAnsi="Calibri"/>
          <w:b/>
          <w:color w:val="525866"/>
          <w:sz w:val="22"/>
        </w:rPr>
        <w:t xml:space="preserve">June 3, 2026 — ESS at Nareit REITweek Conference (Key Management Update): </w:t>
      </w:r>
      <w:r>
        <w:rPr>
          <w:rFonts w:ascii="Calibri" w:hAnsi="Calibri"/>
          <w:i/>
          <w:color w:val="525866"/>
          <w:sz w:val="22"/>
        </w:rPr>
        <w:t xml:space="preserve">Management confirmed the portfolio is “trending ahead of guidance” with blended lease rates accelerating to 3.7% in May (from 3.1% in April and 1.4% in Q1). Market rents are higher than a year ago but still slightly below the long-term average, suggesting additional upside. Management signaled it will “revisit how we’re going to guide the Street” after Q2 results. Northern California described as a “recovery story” with “a lot of runway” — currently at ~10% above pre-COVID rents vs. a target of ~20%. Oakland highlighted as the most underappreciated ESS market. </w:t>
      </w:r>
      <w:r>
        <w:rPr>
          <w:rFonts w:ascii="Calibri" w:hAnsi="Calibri"/>
          <w:color w:val="525866"/>
          <w:sz w:val="22"/>
        </w:rPr>
        <w:t>Implication: Sets up a guidance raise on the Q2 call as the base case.</w:t>
      </w:r>
    </w:p>
    <w:p>
      <w:pPr>
        <w:pStyle w:val="ListBullet"/>
        <w:ind w:left="360" w:hanging="360"/>
      </w:pPr>
      <w:r>
        <w:rPr>
          <w:rFonts w:ascii="Calibri" w:hAnsi="Calibri"/>
          <w:b/>
          <w:color w:val="525866"/>
          <w:sz w:val="22"/>
        </w:rPr>
        <w:t xml:space="preserve">May 29, 2026 — ESS Announces Nareit REITweek Presentation: </w:t>
      </w:r>
      <w:r>
        <w:rPr>
          <w:rFonts w:ascii="Calibri" w:hAnsi="Calibri"/>
          <w:i/>
          <w:color w:val="525866"/>
          <w:sz w:val="22"/>
        </w:rPr>
        <w:t xml:space="preserve">Essex Property Trust announced its participation in the 2026 Nareit REITweek Investor Conference (June 3–4, 2026). </w:t>
      </w:r>
      <w:r>
        <w:rPr>
          <w:rFonts w:ascii="Calibri" w:hAnsi="Calibri"/>
          <w:color w:val="525866"/>
          <w:sz w:val="22"/>
        </w:rPr>
        <w:t>Implication: Routine investor relations event; management used the platform to provide the most detailed post-Q1 update.</w:t>
      </w:r>
    </w:p>
    <w:p>
      <w:pPr>
        <w:pStyle w:val="ListBullet"/>
        <w:ind w:left="360" w:hanging="360"/>
      </w:pPr>
      <w:r>
        <w:rPr>
          <w:rFonts w:ascii="Calibri" w:hAnsi="Calibri"/>
          <w:b/>
          <w:color w:val="525866"/>
          <w:sz w:val="22"/>
        </w:rPr>
        <w:t xml:space="preserve">May 14, 2026 — ESS Shareholder Meeting (8-K): </w:t>
      </w:r>
      <w:r>
        <w:rPr>
          <w:rFonts w:ascii="Calibri" w:hAnsi="Calibri"/>
          <w:i/>
          <w:color w:val="525866"/>
          <w:sz w:val="22"/>
        </w:rPr>
        <w:t xml:space="preserve">Shareholders voted to back the Board, auditors, and executive pay at the annual meeting. No material governance changes. </w:t>
      </w:r>
      <w:r>
        <w:rPr>
          <w:rFonts w:ascii="Calibri" w:hAnsi="Calibri"/>
          <w:color w:val="525866"/>
          <w:sz w:val="22"/>
        </w:rPr>
        <w:t>Implication: Routine; no governance overhang heading into earnings.</w:t>
      </w:r>
    </w:p>
    <w:p>
      <w:pPr>
        <w:pStyle w:val="ListBullet"/>
        <w:ind w:left="360" w:hanging="360"/>
      </w:pPr>
      <w:r>
        <w:rPr>
          <w:rFonts w:ascii="Calibri" w:hAnsi="Calibri"/>
          <w:b/>
          <w:color w:val="525866"/>
          <w:sz w:val="22"/>
        </w:rPr>
        <w:t xml:space="preserve">April 28, 2026 — Q1 2026 Earnings Beat &amp; Structured Finance Resolution: </w:t>
      </w:r>
      <w:r>
        <w:rPr>
          <w:rFonts w:ascii="Calibri" w:hAnsi="Calibri"/>
          <w:i/>
          <w:color w:val="525866"/>
          <w:sz w:val="22"/>
        </w:rPr>
        <w:t xml:space="preserve">ESS reported Q1 Core FFO of $4.06/share, beating the $3.95 guidance midpoint by $0.11 (the largest beat in 8 quarters). Same-property NOI grew 4.1% YoY. An unexpected early $90M structured finance redemption (originally 2027–2028 maturities) creates a $0.07 H2 FFO headwind, largely offset by $62M in share buybacks at $243.76 avg. (6.5% FFO yield). Full-year guidance reaffirmed. </w:t>
      </w:r>
      <w:r>
        <w:rPr>
          <w:rFonts w:ascii="Calibri" w:hAnsi="Calibri"/>
          <w:color w:val="525866"/>
          <w:sz w:val="22"/>
        </w:rPr>
        <w:t>Implication: Established a high bar for Q2 and set up the guidance raise narrative.</w:t>
      </w:r>
    </w:p>
    <w:p>
      <w:pPr>
        <w:pStyle w:val="ListBullet"/>
        <w:ind w:left="360" w:hanging="360"/>
      </w:pPr>
      <w:r>
        <w:rPr>
          <w:rFonts w:ascii="Calibri" w:hAnsi="Calibri"/>
          <w:b/>
          <w:color w:val="525866"/>
          <w:sz w:val="22"/>
        </w:rPr>
        <w:t xml:space="preserve">Ongoing — AVB/EQR Merger (Expected H2 2026 Close): </w:t>
      </w:r>
      <w:r>
        <w:rPr>
          <w:rFonts w:ascii="Calibri" w:hAnsi="Calibri"/>
          <w:i/>
          <w:color w:val="525866"/>
          <w:sz w:val="22"/>
        </w:rPr>
        <w:t xml:space="preserve">The announced merger between AvalonBay and Equity Residential, expected to close in H2 2026, would leave ESS as the only pure-play coastal multifamily REIT. Management views this with measured confidence. </w:t>
      </w:r>
      <w:r>
        <w:rPr>
          <w:rFonts w:ascii="Calibri" w:hAnsi="Calibri"/>
          <w:color w:val="525866"/>
          <w:sz w:val="22"/>
        </w:rPr>
        <w:t>Implication: Potential re-rating catalyst as ESS becomes the sole pure-play vehicle for investors seeking West Coast multifamily exposure; could attract incremental institutional demand.</w:t>
      </w:r>
    </w:p>
    <w:p>
      <w:pPr>
        <w:pStyle w:val="ListBullet"/>
        <w:ind w:left="360" w:hanging="360"/>
      </w:pPr>
      <w:r>
        <w:rPr>
          <w:rFonts w:ascii="Calibri" w:hAnsi="Calibri"/>
          <w:b/>
          <w:color w:val="525866"/>
          <w:sz w:val="22"/>
        </w:rPr>
        <w:t xml:space="preserve">Ongoing — ADU Development Pipeline: </w:t>
      </w:r>
      <w:r>
        <w:rPr>
          <w:rFonts w:ascii="Calibri" w:hAnsi="Calibri"/>
          <w:i/>
          <w:color w:val="525866"/>
          <w:sz w:val="22"/>
        </w:rPr>
        <w:t xml:space="preserve">ESS is building an ADU (accessory dwelling unit) pipeline leveraging California by-right zoning laws, targeting ~80 ADU deliveries in 2027 at double-digit returns on cost and ~50% of new construction cost per unit. </w:t>
      </w:r>
      <w:r>
        <w:rPr>
          <w:rFonts w:ascii="Calibri" w:hAnsi="Calibri"/>
          <w:color w:val="525866"/>
          <w:sz w:val="22"/>
        </w:rPr>
        <w:t>Implication: Capital-efficient growth channel that could provide incremental FFO upside in 2027–2028 without requiring large acquisitions.</w:t>
      </w:r>
    </w:p>
    <w:p>
      <w:pPr>
        <w:pStyle w:val="ListBullet"/>
        <w:ind w:left="360" w:hanging="360"/>
      </w:pPr>
      <w:r>
        <w:rPr>
          <w:rFonts w:ascii="Calibri" w:hAnsi="Calibri"/>
          <w:b/>
          <w:color w:val="525866"/>
          <w:sz w:val="22"/>
        </w:rPr>
        <w:t xml:space="preserve">Ongoing — West Coast Private Market Cap Rate Compression: </w:t>
      </w:r>
      <w:r>
        <w:rPr>
          <w:rFonts w:ascii="Calibri" w:hAnsi="Calibri"/>
          <w:i/>
          <w:color w:val="525866"/>
          <w:sz w:val="22"/>
        </w:rPr>
        <w:t xml:space="preserve">Camden Property Trust's sale of a Southern California portfolio confirmed strong private demand at ~4.5% cap rates; Northern California assets trading at low-to-mid 4% cap rates. ESS's implied public cap rate remains in the mid-5% range, a significant discount to private market value. </w:t>
      </w:r>
      <w:r>
        <w:rPr>
          <w:rFonts w:ascii="Calibri" w:hAnsi="Calibri"/>
          <w:color w:val="525866"/>
          <w:sz w:val="22"/>
        </w:rPr>
        <w:t>Implication: Supports management's share buyback thesis and highlights the public/private valuation gap that could close over time.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since Q1 earnings — the only transactions are routine director compensation awards (Form 4 code “A”) and one small director sale. The absence of insider buying at current prices (stock up ~10% since earnings) is neutral, not a negative signal, given the compensation-driven nature of the awards.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Kasaris, Mary</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600 shares</w:t>
            </w:r>
          </w:p>
        </w:tc>
        <w:tc>
          <w:tcPr>
            <w:tcW w:type="dxa" w:w="1440"/>
          </w:tcPr>
          <w:p>
            <w:r>
              <w:rPr>
                <w:rFonts w:ascii="Calibri" w:hAnsi="Calibri"/>
                <w:sz w:val="22"/>
              </w:rPr>
              <w:t>May 27, 2026</w:t>
            </w:r>
          </w:p>
        </w:tc>
        <w:tc>
          <w:tcPr>
            <w:tcW w:type="dxa" w:w="1440"/>
          </w:tcPr>
          <w:p>
            <w:r>
              <w:rPr>
                <w:rFonts w:ascii="Calibri" w:hAnsi="Calibri"/>
                <w:sz w:val="22"/>
              </w:rPr>
              <w:t>Discretionary sale; 2,394 shares held post-transaction. Small size relative to holdings.</w:t>
            </w:r>
          </w:p>
        </w:tc>
      </w:tr>
      <w:tr>
        <w:tc>
          <w:tcPr>
            <w:tcW w:type="dxa" w:w="1440"/>
          </w:tcPr>
          <w:p>
            <w:r>
              <w:rPr>
                <w:rFonts w:ascii="Calibri" w:hAnsi="Calibri"/>
                <w:sz w:val="22"/>
              </w:rPr>
              <w:t>Arabia, John V</w:t>
            </w:r>
          </w:p>
        </w:tc>
        <w:tc>
          <w:tcPr>
            <w:tcW w:type="dxa" w:w="1440"/>
          </w:tcPr>
          <w:p>
            <w:r>
              <w:rPr>
                <w:rFonts w:ascii="Calibri" w:hAnsi="Calibri"/>
                <w:sz w:val="22"/>
              </w:rPr>
              <w:t>Director</w:t>
            </w:r>
          </w:p>
        </w:tc>
        <w:tc>
          <w:tcPr>
            <w:tcW w:type="dxa" w:w="1440"/>
          </w:tcPr>
          <w:p>
            <w:r>
              <w:rPr>
                <w:rFonts w:ascii="Calibri" w:hAnsi="Calibri"/>
                <w:sz w:val="22"/>
              </w:rPr>
              <w:t>Award (Compensation)</w:t>
            </w:r>
          </w:p>
        </w:tc>
        <w:tc>
          <w:tcPr>
            <w:tcW w:type="dxa" w:w="1440"/>
          </w:tcPr>
          <w:p>
            <w:r>
              <w:rPr>
                <w:rFonts w:ascii="Calibri" w:hAnsi="Calibri"/>
                <w:sz w:val="22"/>
              </w:rPr>
              <w:t>633 shares</w:t>
            </w:r>
          </w:p>
        </w:tc>
        <w:tc>
          <w:tcPr>
            <w:tcW w:type="dxa" w:w="1440"/>
          </w:tcPr>
          <w:p>
            <w:r>
              <w:rPr>
                <w:rFonts w:ascii="Calibri" w:hAnsi="Calibri"/>
                <w:sz w:val="22"/>
              </w:rPr>
              <w:t>May 12, 2026</w:t>
            </w:r>
          </w:p>
        </w:tc>
        <w:tc>
          <w:tcPr>
            <w:tcW w:type="dxa" w:w="1440"/>
          </w:tcPr>
          <w:p>
            <w:r>
              <w:rPr>
                <w:rFonts w:ascii="Calibri" w:hAnsi="Calibri"/>
                <w:sz w:val="22"/>
              </w:rPr>
              <w:t>Form 4 Code “A” — routine director equity compensation award; not an open-market purchase.</w:t>
            </w:r>
          </w:p>
        </w:tc>
      </w:tr>
      <w:tr>
        <w:tc>
          <w:tcPr>
            <w:tcW w:type="dxa" w:w="1440"/>
          </w:tcPr>
          <w:p>
            <w:r>
              <w:rPr>
                <w:rFonts w:ascii="Calibri" w:hAnsi="Calibri"/>
                <w:sz w:val="22"/>
              </w:rPr>
              <w:t>Guericke, Keith R</w:t>
            </w:r>
          </w:p>
        </w:tc>
        <w:tc>
          <w:tcPr>
            <w:tcW w:type="dxa" w:w="1440"/>
          </w:tcPr>
          <w:p>
            <w:r>
              <w:rPr>
                <w:rFonts w:ascii="Calibri" w:hAnsi="Calibri"/>
                <w:sz w:val="22"/>
              </w:rPr>
              <w:t>Director</w:t>
            </w:r>
          </w:p>
        </w:tc>
        <w:tc>
          <w:tcPr>
            <w:tcW w:type="dxa" w:w="1440"/>
          </w:tcPr>
          <w:p>
            <w:r>
              <w:rPr>
                <w:rFonts w:ascii="Calibri" w:hAnsi="Calibri"/>
                <w:sz w:val="22"/>
              </w:rPr>
              <w:t>Award (Compensation)</w:t>
            </w:r>
          </w:p>
        </w:tc>
        <w:tc>
          <w:tcPr>
            <w:tcW w:type="dxa" w:w="1440"/>
          </w:tcPr>
          <w:p>
            <w:r>
              <w:rPr>
                <w:rFonts w:ascii="Calibri" w:hAnsi="Calibri"/>
                <w:sz w:val="22"/>
              </w:rPr>
              <w:t>633 shares</w:t>
            </w:r>
          </w:p>
        </w:tc>
        <w:tc>
          <w:tcPr>
            <w:tcW w:type="dxa" w:w="1440"/>
          </w:tcPr>
          <w:p>
            <w:r>
              <w:rPr>
                <w:rFonts w:ascii="Calibri" w:hAnsi="Calibri"/>
                <w:sz w:val="22"/>
              </w:rPr>
              <w:t>May 12, 2026</w:t>
            </w:r>
          </w:p>
        </w:tc>
        <w:tc>
          <w:tcPr>
            <w:tcW w:type="dxa" w:w="1440"/>
          </w:tcPr>
          <w:p>
            <w:r>
              <w:rPr>
                <w:rFonts w:ascii="Calibri" w:hAnsi="Calibri"/>
                <w:sz w:val="22"/>
              </w:rPr>
              <w:t>Form 4 Code “A” — routine director equity compensation award; 17,357 shares held post-transaction.</w:t>
            </w:r>
          </w:p>
        </w:tc>
      </w:tr>
      <w:tr>
        <w:tc>
          <w:tcPr>
            <w:tcW w:type="dxa" w:w="1440"/>
          </w:tcPr>
          <w:p>
            <w:r>
              <w:rPr>
                <w:rFonts w:ascii="Calibri" w:hAnsi="Calibri"/>
                <w:sz w:val="22"/>
              </w:rPr>
              <w:t>Gust, Anne B</w:t>
            </w:r>
          </w:p>
        </w:tc>
        <w:tc>
          <w:tcPr>
            <w:tcW w:type="dxa" w:w="1440"/>
          </w:tcPr>
          <w:p>
            <w:r>
              <w:rPr>
                <w:rFonts w:ascii="Calibri" w:hAnsi="Calibri"/>
                <w:sz w:val="22"/>
              </w:rPr>
              <w:t>Director</w:t>
            </w:r>
          </w:p>
        </w:tc>
        <w:tc>
          <w:tcPr>
            <w:tcW w:type="dxa" w:w="1440"/>
          </w:tcPr>
          <w:p>
            <w:r>
              <w:rPr>
                <w:rFonts w:ascii="Calibri" w:hAnsi="Calibri"/>
                <w:sz w:val="22"/>
              </w:rPr>
              <w:t>Award (Compensation)</w:t>
            </w:r>
          </w:p>
        </w:tc>
        <w:tc>
          <w:tcPr>
            <w:tcW w:type="dxa" w:w="1440"/>
          </w:tcPr>
          <w:p>
            <w:r>
              <w:rPr>
                <w:rFonts w:ascii="Calibri" w:hAnsi="Calibri"/>
                <w:sz w:val="22"/>
              </w:rPr>
              <w:t>633 shares</w:t>
            </w:r>
          </w:p>
        </w:tc>
        <w:tc>
          <w:tcPr>
            <w:tcW w:type="dxa" w:w="1440"/>
          </w:tcPr>
          <w:p>
            <w:r>
              <w:rPr>
                <w:rFonts w:ascii="Calibri" w:hAnsi="Calibri"/>
                <w:sz w:val="22"/>
              </w:rPr>
              <w:t>May 12, 2026</w:t>
            </w:r>
          </w:p>
        </w:tc>
        <w:tc>
          <w:tcPr>
            <w:tcW w:type="dxa" w:w="1440"/>
          </w:tcPr>
          <w:p>
            <w:r>
              <w:rPr>
                <w:rFonts w:ascii="Calibri" w:hAnsi="Calibri"/>
                <w:sz w:val="22"/>
              </w:rPr>
              <w:t>Form 4 Code “A” — routine director equity compensation award.</w:t>
            </w:r>
          </w:p>
        </w:tc>
      </w:tr>
      <w:tr>
        <w:tc>
          <w:tcPr>
            <w:tcW w:type="dxa" w:w="1440"/>
          </w:tcPr>
          <w:p>
            <w:r>
              <w:rPr>
                <w:rFonts w:ascii="Calibri" w:hAnsi="Calibri"/>
                <w:sz w:val="22"/>
              </w:rPr>
              <w:t>Hawthorne, Maria R</w:t>
            </w:r>
          </w:p>
        </w:tc>
        <w:tc>
          <w:tcPr>
            <w:tcW w:type="dxa" w:w="1440"/>
          </w:tcPr>
          <w:p>
            <w:r>
              <w:rPr>
                <w:rFonts w:ascii="Calibri" w:hAnsi="Calibri"/>
                <w:sz w:val="22"/>
              </w:rPr>
              <w:t>Director</w:t>
            </w:r>
          </w:p>
        </w:tc>
        <w:tc>
          <w:tcPr>
            <w:tcW w:type="dxa" w:w="1440"/>
          </w:tcPr>
          <w:p>
            <w:r>
              <w:rPr>
                <w:rFonts w:ascii="Calibri" w:hAnsi="Calibri"/>
                <w:sz w:val="22"/>
              </w:rPr>
              <w:t>Award (Compensation)</w:t>
            </w:r>
          </w:p>
        </w:tc>
        <w:tc>
          <w:tcPr>
            <w:tcW w:type="dxa" w:w="1440"/>
          </w:tcPr>
          <w:p>
            <w:r>
              <w:rPr>
                <w:rFonts w:ascii="Calibri" w:hAnsi="Calibri"/>
                <w:sz w:val="22"/>
              </w:rPr>
              <w:t>633 shares</w:t>
            </w:r>
          </w:p>
        </w:tc>
        <w:tc>
          <w:tcPr>
            <w:tcW w:type="dxa" w:w="1440"/>
          </w:tcPr>
          <w:p>
            <w:r>
              <w:rPr>
                <w:rFonts w:ascii="Calibri" w:hAnsi="Calibri"/>
                <w:sz w:val="22"/>
              </w:rPr>
              <w:t>May 12, 2026</w:t>
            </w:r>
          </w:p>
        </w:tc>
        <w:tc>
          <w:tcPr>
            <w:tcW w:type="dxa" w:w="1440"/>
          </w:tcPr>
          <w:p>
            <w:r>
              <w:rPr>
                <w:rFonts w:ascii="Calibri" w:hAnsi="Calibri"/>
                <w:sz w:val="22"/>
              </w:rPr>
              <w:t>Form 4 Code “A” — routine director equity compensation award.</w:t>
            </w:r>
          </w:p>
        </w:tc>
      </w:tr>
      <w:tr>
        <w:tc>
          <w:tcPr>
            <w:tcW w:type="dxa" w:w="1440"/>
          </w:tcPr>
          <w:p>
            <w:r>
              <w:rPr>
                <w:rFonts w:ascii="Calibri" w:hAnsi="Calibri"/>
                <w:sz w:val="22"/>
              </w:rPr>
              <w:t>Johnson, Amal M</w:t>
            </w:r>
          </w:p>
        </w:tc>
        <w:tc>
          <w:tcPr>
            <w:tcW w:type="dxa" w:w="1440"/>
          </w:tcPr>
          <w:p>
            <w:r>
              <w:rPr>
                <w:rFonts w:ascii="Calibri" w:hAnsi="Calibri"/>
                <w:sz w:val="22"/>
              </w:rPr>
              <w:t>Director</w:t>
            </w:r>
          </w:p>
        </w:tc>
        <w:tc>
          <w:tcPr>
            <w:tcW w:type="dxa" w:w="1440"/>
          </w:tcPr>
          <w:p>
            <w:r>
              <w:rPr>
                <w:rFonts w:ascii="Calibri" w:hAnsi="Calibri"/>
                <w:sz w:val="22"/>
              </w:rPr>
              <w:t>Award (Compensation)</w:t>
            </w:r>
          </w:p>
        </w:tc>
        <w:tc>
          <w:tcPr>
            <w:tcW w:type="dxa" w:w="1440"/>
          </w:tcPr>
          <w:p>
            <w:r>
              <w:rPr>
                <w:rFonts w:ascii="Calibri" w:hAnsi="Calibri"/>
                <w:sz w:val="22"/>
              </w:rPr>
              <w:t>633 shares</w:t>
            </w:r>
          </w:p>
        </w:tc>
        <w:tc>
          <w:tcPr>
            <w:tcW w:type="dxa" w:w="1440"/>
          </w:tcPr>
          <w:p>
            <w:r>
              <w:rPr>
                <w:rFonts w:ascii="Calibri" w:hAnsi="Calibri"/>
                <w:sz w:val="22"/>
              </w:rPr>
              <w:t>May 12, 2026</w:t>
            </w:r>
          </w:p>
        </w:tc>
        <w:tc>
          <w:tcPr>
            <w:tcW w:type="dxa" w:w="1440"/>
          </w:tcPr>
          <w:p>
            <w:r>
              <w:rPr>
                <w:rFonts w:ascii="Calibri" w:hAnsi="Calibri"/>
                <w:sz w:val="22"/>
              </w:rPr>
              <w:t>Form 4 Code “A” — routine director equity compensation award.</w:t>
            </w:r>
          </w:p>
        </w:tc>
      </w:tr>
      <w:tr>
        <w:tc>
          <w:tcPr>
            <w:tcW w:type="dxa" w:w="1440"/>
          </w:tcPr>
          <w:p>
            <w:r>
              <w:rPr>
                <w:rFonts w:ascii="Calibri" w:hAnsi="Calibri"/>
                <w:sz w:val="22"/>
              </w:rPr>
              <w:t>Kasaris, Mary</w:t>
            </w:r>
          </w:p>
        </w:tc>
        <w:tc>
          <w:tcPr>
            <w:tcW w:type="dxa" w:w="1440"/>
          </w:tcPr>
          <w:p>
            <w:r>
              <w:rPr>
                <w:rFonts w:ascii="Calibri" w:hAnsi="Calibri"/>
                <w:sz w:val="22"/>
              </w:rPr>
              <w:t>Director</w:t>
            </w:r>
          </w:p>
        </w:tc>
        <w:tc>
          <w:tcPr>
            <w:tcW w:type="dxa" w:w="1440"/>
          </w:tcPr>
          <w:p>
            <w:r>
              <w:rPr>
                <w:rFonts w:ascii="Calibri" w:hAnsi="Calibri"/>
                <w:sz w:val="22"/>
              </w:rPr>
              <w:t>Award (Compensation)</w:t>
            </w:r>
          </w:p>
        </w:tc>
        <w:tc>
          <w:tcPr>
            <w:tcW w:type="dxa" w:w="1440"/>
          </w:tcPr>
          <w:p>
            <w:r>
              <w:rPr>
                <w:rFonts w:ascii="Calibri" w:hAnsi="Calibri"/>
                <w:sz w:val="22"/>
              </w:rPr>
              <w:t>633 shares</w:t>
            </w:r>
          </w:p>
        </w:tc>
        <w:tc>
          <w:tcPr>
            <w:tcW w:type="dxa" w:w="1440"/>
          </w:tcPr>
          <w:p>
            <w:r>
              <w:rPr>
                <w:rFonts w:ascii="Calibri" w:hAnsi="Calibri"/>
                <w:sz w:val="22"/>
              </w:rPr>
              <w:t>May 12, 2026</w:t>
            </w:r>
          </w:p>
        </w:tc>
        <w:tc>
          <w:tcPr>
            <w:tcW w:type="dxa" w:w="1440"/>
          </w:tcPr>
          <w:p>
            <w:r>
              <w:rPr>
                <w:rFonts w:ascii="Calibri" w:hAnsi="Calibri"/>
                <w:sz w:val="22"/>
              </w:rPr>
              <w:t>Form 4 Code “A” — routine director equity compensation award.</w:t>
            </w:r>
          </w:p>
        </w:tc>
      </w:tr>
      <w:tr>
        <w:tc>
          <w:tcPr>
            <w:tcW w:type="dxa" w:w="1440"/>
          </w:tcPr>
          <w:p>
            <w:r>
              <w:rPr>
                <w:rFonts w:ascii="Calibri" w:hAnsi="Calibri"/>
                <w:sz w:val="22"/>
              </w:rPr>
              <w:t>Lyons, Irving F III</w:t>
            </w:r>
          </w:p>
        </w:tc>
        <w:tc>
          <w:tcPr>
            <w:tcW w:type="dxa" w:w="1440"/>
          </w:tcPr>
          <w:p>
            <w:r>
              <w:rPr>
                <w:rFonts w:ascii="Calibri" w:hAnsi="Calibri"/>
                <w:sz w:val="22"/>
              </w:rPr>
              <w:t>Director</w:t>
            </w:r>
          </w:p>
        </w:tc>
        <w:tc>
          <w:tcPr>
            <w:tcW w:type="dxa" w:w="1440"/>
          </w:tcPr>
          <w:p>
            <w:r>
              <w:rPr>
                <w:rFonts w:ascii="Calibri" w:hAnsi="Calibri"/>
                <w:sz w:val="22"/>
              </w:rPr>
              <w:t>Award (Compensation)</w:t>
            </w:r>
          </w:p>
        </w:tc>
        <w:tc>
          <w:tcPr>
            <w:tcW w:type="dxa" w:w="1440"/>
          </w:tcPr>
          <w:p>
            <w:r>
              <w:rPr>
                <w:rFonts w:ascii="Calibri" w:hAnsi="Calibri"/>
                <w:sz w:val="22"/>
              </w:rPr>
              <w:t>633 shares</w:t>
            </w:r>
          </w:p>
        </w:tc>
        <w:tc>
          <w:tcPr>
            <w:tcW w:type="dxa" w:w="1440"/>
          </w:tcPr>
          <w:p>
            <w:r>
              <w:rPr>
                <w:rFonts w:ascii="Calibri" w:hAnsi="Calibri"/>
                <w:sz w:val="22"/>
              </w:rPr>
              <w:t>May 12, 2026</w:t>
            </w:r>
          </w:p>
        </w:tc>
        <w:tc>
          <w:tcPr>
            <w:tcW w:type="dxa" w:w="1440"/>
          </w:tcPr>
          <w:p>
            <w:r>
              <w:rPr>
                <w:rFonts w:ascii="Calibri" w:hAnsi="Calibri"/>
                <w:sz w:val="22"/>
              </w:rPr>
              <w:t>Form 4 Code “A” — routine director equity compensation award; 9,809 shares held post-transaction.</w:t>
            </w:r>
          </w:p>
        </w:tc>
      </w:tr>
      <w:tr>
        <w:tc>
          <w:tcPr>
            <w:tcW w:type="dxa" w:w="1440"/>
          </w:tcPr>
          <w:p>
            <w:r>
              <w:rPr>
                <w:rFonts w:ascii="Calibri" w:hAnsi="Calibri"/>
                <w:sz w:val="22"/>
              </w:rPr>
              <w:t>Marcus, George M</w:t>
            </w:r>
          </w:p>
        </w:tc>
        <w:tc>
          <w:tcPr>
            <w:tcW w:type="dxa" w:w="1440"/>
          </w:tcPr>
          <w:p>
            <w:r>
              <w:rPr>
                <w:rFonts w:ascii="Calibri" w:hAnsi="Calibri"/>
                <w:sz w:val="22"/>
              </w:rPr>
              <w:t>Director</w:t>
            </w:r>
          </w:p>
        </w:tc>
        <w:tc>
          <w:tcPr>
            <w:tcW w:type="dxa" w:w="1440"/>
          </w:tcPr>
          <w:p>
            <w:r>
              <w:rPr>
                <w:rFonts w:ascii="Calibri" w:hAnsi="Calibri"/>
                <w:sz w:val="22"/>
              </w:rPr>
              <w:t>Award (Compensation)</w:t>
            </w:r>
          </w:p>
        </w:tc>
        <w:tc>
          <w:tcPr>
            <w:tcW w:type="dxa" w:w="1440"/>
          </w:tcPr>
          <w:p>
            <w:r>
              <w:rPr>
                <w:rFonts w:ascii="Calibri" w:hAnsi="Calibri"/>
                <w:sz w:val="22"/>
              </w:rPr>
              <w:t>1,117 shares</w:t>
            </w:r>
          </w:p>
        </w:tc>
        <w:tc>
          <w:tcPr>
            <w:tcW w:type="dxa" w:w="1440"/>
          </w:tcPr>
          <w:p>
            <w:r>
              <w:rPr>
                <w:rFonts w:ascii="Calibri" w:hAnsi="Calibri"/>
                <w:sz w:val="22"/>
              </w:rPr>
              <w:t>May 12, 2026</w:t>
            </w:r>
          </w:p>
        </w:tc>
        <w:tc>
          <w:tcPr>
            <w:tcW w:type="dxa" w:w="1440"/>
          </w:tcPr>
          <w:p>
            <w:r>
              <w:rPr>
                <w:rFonts w:ascii="Calibri" w:hAnsi="Calibri"/>
                <w:sz w:val="22"/>
              </w:rPr>
              <w:t>Form 4 Code “A” — routine director equity compensation award; largest award (likely reflects longer tenure/committee roles); 223,042 shares held post-transaction.</w:t>
            </w:r>
          </w:p>
        </w:tc>
      </w:tr>
    </w:tbl>
    <w:p>
      <w:r>
        <w:rPr>
          <w:rFonts w:ascii="Calibri" w:hAnsi="Calibri"/>
          <w:i/>
          <w:color w:val="525866"/>
          <w:sz w:val="22"/>
        </w:rPr>
        <w:t>Source: Insider Transaction Data (SEC Form 4 filings). Note: All “Award” transactions are Form 4 Code “A” (grant/award), not open-market purchases. The sole open-market transaction is Kasaris’s 600-share sale on May 27, 2026 — a small, likely routine sale with no apparent pre-earnings signal. No executive officer (CEO, CFO, COO) transactions were filed in the period. No 10b5-1 plan initiations were disclosed.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