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Essex Property Trust (ESS)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Essex Property Trust, Inc.</w:t>
            </w:r>
          </w:p>
        </w:tc>
      </w:tr>
      <w:tr>
        <w:tc>
          <w:tcPr>
            <w:tcW w:type="dxa" w:w="4320"/>
          </w:tcPr>
          <w:p>
            <w:r>
              <w:rPr>
                <w:rFonts w:ascii="Calibri" w:hAnsi="Calibri"/>
                <w:b/>
                <w:sz w:val="22"/>
              </w:rPr>
              <w:t>Ticker</w:t>
            </w:r>
          </w:p>
        </w:tc>
        <w:tc>
          <w:tcPr>
            <w:tcW w:type="dxa" w:w="4320"/>
          </w:tcPr>
          <w:p>
            <w:r>
              <w:rPr>
                <w:rFonts w:ascii="Calibri" w:hAnsi="Calibri"/>
                <w:sz w:val="22"/>
              </w:rPr>
              <w:t>ESS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30, 2026 (2:00 PM ET)</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r>
        <w:tc>
          <w:tcPr>
            <w:tcW w:type="dxa" w:w="4320"/>
          </w:tcPr>
          <w:p>
            <w:r>
              <w:rPr>
                <w:rFonts w:ascii="Calibri" w:hAnsi="Calibri"/>
                <w:b/>
                <w:sz w:val="22"/>
              </w:rPr>
              <w:t>Sector / Sub-Sector</w:t>
            </w:r>
          </w:p>
        </w:tc>
        <w:tc>
          <w:tcPr>
            <w:tcW w:type="dxa" w:w="4320"/>
          </w:tcPr>
          <w:p>
            <w:r>
              <w:rPr>
                <w:rFonts w:ascii="Calibri" w:hAnsi="Calibri"/>
                <w:sz w:val="22"/>
              </w:rPr>
              <w:t>Real Estate / Residential REIT (West Coast Multifamily)</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constructive — consensus is a manageable bar and management signaled at the June Nareit conference that the portfolio is tracking ahead of guidance, with blended lease rates accelerating to 3.7% in May; the biggest swing factor is whether Northern California's AI-driven momentum and improving Los Angeles occupancy translate into a guidance raise.</w:t>
      </w:r>
    </w:p>
    <w:p>
      <w:r>
        <w:rPr>
          <w:rFonts w:ascii="Calibri" w:hAnsi="Calibri"/>
          <w:color w:val="525866"/>
          <w:sz w:val="22"/>
        </w:rPr>
        <w:t xml:space="preserve">Heading into Q2 2026 earnings, the setup for ESS is the most constructive it has been in several quarters. Management reaffirmed full-year Core FFO guidance of $15.69–$16.19 per share (midpoint $15.94) after a strong Q1 beat, but explicitly flagged it wanted peak-leasing-season visibility before raising — and at the June 3 Nareit REITweek conference, CEO Angela Kleiman confirmed the portfolio is </w:t>
      </w:r>
      <w:r>
        <w:rPr>
          <w:rFonts w:ascii="Calibri" w:hAnsi="Calibri"/>
          <w:i/>
          <w:color w:val="525866"/>
          <w:sz w:val="22"/>
        </w:rPr>
        <w:t>"trending ahead of guidance,"</w:t>
      </w:r>
      <w:r>
        <w:rPr>
          <w:rFonts w:ascii="Calibri" w:hAnsi="Calibri"/>
          <w:color w:val="525866"/>
          <w:sz w:val="22"/>
        </w:rPr>
        <w:t xml:space="preserve"> with blended lease rates accelerating from 3.1% in April to 3.7% in May, the highest level in nearly two years. Consensus Core FFO for Q2 stands at ~$4.04 per share, essentially in line with the Q2 guidance midpoint of $3.98, leaving room for a beat if Northern California's AI-driven demand and improving Seattle fundamentals continue to outperform. The stock has rallied ~10% since the Q1 print (April 28) and trades at roughly 19.6x NTM EV/EBITDA — multiple expansion has driven most of the move, suggesting the market is already pricing in some improvement, though the stock still trades at a meaningful discount to private market NAV (implied cap rate ~5% vs. mid-4% private transactions). The key wildcard is Los Angeles: economic occupancy has climbed to ~94.5% — tantalizingly close to the ~95% threshold management identifies as the inflection point for pricing power — and any signal that LA is turning could be the catalyst for a guidance raise and further re-rating.</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low-to-moderate bar on Core FFO ($4.04 vs. guidance midpoint $3.98) and same-store NOI growth (~2.3%), with blended lease rates the bigger swing factor — consensus sits at ~3.1% vs. management’s May data point of 3.7%, creating meaningful upside if peak-season momentum holds.</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Core FFO per Share — Diluted ($)</w:t>
            </w:r>
          </w:p>
        </w:tc>
        <w:tc>
          <w:tcPr>
            <w:tcW w:type="dxa" w:w="1234"/>
          </w:tcPr>
          <w:p>
            <w:r>
              <w:rPr>
                <w:rFonts w:ascii="Calibri" w:hAnsi="Calibri"/>
                <w:sz w:val="22"/>
              </w:rPr>
              <w:t>$4.06</w:t>
            </w:r>
          </w:p>
        </w:tc>
        <w:tc>
          <w:tcPr>
            <w:tcW w:type="dxa" w:w="1234"/>
          </w:tcPr>
          <w:p>
            <w:r>
              <w:rPr>
                <w:rFonts w:ascii="Calibri" w:hAnsi="Calibri"/>
                <w:sz w:val="22"/>
              </w:rPr>
              <w:t>$4.03</w:t>
            </w:r>
          </w:p>
        </w:tc>
        <w:tc>
          <w:tcPr>
            <w:tcW w:type="dxa" w:w="1234"/>
          </w:tcPr>
          <w:p>
            <w:r>
              <w:rPr>
                <w:rFonts w:ascii="Calibri" w:hAnsi="Calibri"/>
                <w:sz w:val="22"/>
              </w:rPr>
              <w:t>$4.04</w:t>
            </w:r>
          </w:p>
        </w:tc>
        <w:tc>
          <w:tcPr>
            <w:tcW w:type="dxa" w:w="1234"/>
          </w:tcPr>
          <w:p>
            <w:r>
              <w:rPr>
                <w:rFonts w:ascii="Calibri" w:hAnsi="Calibri"/>
                <w:sz w:val="22"/>
              </w:rPr>
              <w:t>+0.2% YoY</w:t>
            </w:r>
          </w:p>
        </w:tc>
        <w:tc>
          <w:tcPr>
            <w:tcW w:type="dxa" w:w="1234"/>
          </w:tcPr>
          <w:p>
            <w:r>
              <w:rPr>
                <w:rFonts w:ascii="Calibri" w:hAnsi="Calibri"/>
                <w:sz w:val="22"/>
              </w:rPr>
              <w:t>$3.92–$4.04 (mid $3.98)</w:t>
            </w:r>
          </w:p>
        </w:tc>
        <w:tc>
          <w:tcPr>
            <w:tcW w:type="dxa" w:w="1234"/>
          </w:tcPr>
          <w:p>
            <w:r>
              <w:rPr>
                <w:rFonts w:ascii="Calibri" w:hAnsi="Calibri"/>
                <w:sz w:val="22"/>
              </w:rPr>
              <w:t>+1.5% above mid</w:t>
            </w:r>
          </w:p>
        </w:tc>
      </w:tr>
      <w:tr>
        <w:tc>
          <w:tcPr>
            <w:tcW w:type="dxa" w:w="1234"/>
          </w:tcPr>
          <w:p>
            <w:r>
              <w:rPr>
                <w:rFonts w:ascii="Calibri" w:hAnsi="Calibri"/>
                <w:sz w:val="22"/>
              </w:rPr>
              <w:t>Same-Store NOI Growth YoY (%)</w:t>
            </w:r>
          </w:p>
        </w:tc>
        <w:tc>
          <w:tcPr>
            <w:tcW w:type="dxa" w:w="1234"/>
          </w:tcPr>
          <w:p>
            <w:r>
              <w:rPr>
                <w:rFonts w:ascii="Calibri" w:hAnsi="Calibri"/>
                <w:sz w:val="22"/>
              </w:rPr>
              <w:t>4.1%</w:t>
            </w:r>
          </w:p>
        </w:tc>
        <w:tc>
          <w:tcPr>
            <w:tcW w:type="dxa" w:w="1234"/>
          </w:tcPr>
          <w:p>
            <w:r>
              <w:rPr>
                <w:rFonts w:ascii="Calibri" w:hAnsi="Calibri"/>
                <w:sz w:val="22"/>
              </w:rPr>
              <w:t>3.3%</w:t>
            </w:r>
          </w:p>
        </w:tc>
        <w:tc>
          <w:tcPr>
            <w:tcW w:type="dxa" w:w="1234"/>
          </w:tcPr>
          <w:p>
            <w:r>
              <w:rPr>
                <w:rFonts w:ascii="Calibri" w:hAnsi="Calibri"/>
                <w:sz w:val="22"/>
              </w:rPr>
              <w:t>~2.3%</w:t>
            </w:r>
          </w:p>
        </w:tc>
        <w:tc>
          <w:tcPr>
            <w:tcW w:type="dxa" w:w="1234"/>
          </w:tcPr>
          <w:p>
            <w:r>
              <w:rPr>
                <w:rFonts w:ascii="Calibri" w:hAnsi="Calibri"/>
                <w:sz w:val="22"/>
              </w:rPr>
              <w:t>−90 bps YoY</w:t>
            </w:r>
          </w:p>
        </w:tc>
        <w:tc>
          <w:tcPr>
            <w:tcW w:type="dxa" w:w="1234"/>
          </w:tcPr>
          <w:p>
            <w:r>
              <w:rPr>
                <w:rFonts w:ascii="Calibri" w:hAnsi="Calibri"/>
                <w:sz w:val="22"/>
              </w:rPr>
              <w:t>0.8%–3.4% (mid 2.1%)</w:t>
            </w:r>
          </w:p>
        </w:tc>
        <w:tc>
          <w:tcPr>
            <w:tcW w:type="dxa" w:w="1234"/>
          </w:tcPr>
          <w:p>
            <w:r>
              <w:rPr>
                <w:rFonts w:ascii="Calibri" w:hAnsi="Calibri"/>
                <w:sz w:val="22"/>
              </w:rPr>
              <w:t>+9% above mid</w:t>
            </w:r>
          </w:p>
        </w:tc>
      </w:tr>
      <w:tr>
        <w:tc>
          <w:tcPr>
            <w:tcW w:type="dxa" w:w="1234"/>
          </w:tcPr>
          <w:p>
            <w:r>
              <w:rPr>
                <w:rFonts w:ascii="Calibri" w:hAnsi="Calibri"/>
                <w:sz w:val="22"/>
              </w:rPr>
              <w:t>Same-Store Revenue Growth YoY (%)</w:t>
            </w:r>
          </w:p>
        </w:tc>
        <w:tc>
          <w:tcPr>
            <w:tcW w:type="dxa" w:w="1234"/>
          </w:tcPr>
          <w:p>
            <w:r>
              <w:rPr>
                <w:rFonts w:ascii="Calibri" w:hAnsi="Calibri"/>
                <w:sz w:val="22"/>
              </w:rPr>
              <w:t>2.9%</w:t>
            </w:r>
          </w:p>
        </w:tc>
        <w:tc>
          <w:tcPr>
            <w:tcW w:type="dxa" w:w="1234"/>
          </w:tcPr>
          <w:p>
            <w:r>
              <w:rPr>
                <w:rFonts w:ascii="Calibri" w:hAnsi="Calibri"/>
                <w:sz w:val="22"/>
              </w:rPr>
              <w:t>3.2%</w:t>
            </w:r>
          </w:p>
        </w:tc>
        <w:tc>
          <w:tcPr>
            <w:tcW w:type="dxa" w:w="1234"/>
          </w:tcPr>
          <w:p>
            <w:r>
              <w:rPr>
                <w:rFonts w:ascii="Calibri" w:hAnsi="Calibri"/>
                <w:sz w:val="22"/>
              </w:rPr>
              <w:t>~2.6%</w:t>
            </w:r>
          </w:p>
        </w:tc>
        <w:tc>
          <w:tcPr>
            <w:tcW w:type="dxa" w:w="1234"/>
          </w:tcPr>
          <w:p>
            <w:r>
              <w:rPr>
                <w:rFonts w:ascii="Calibri" w:hAnsi="Calibri"/>
                <w:sz w:val="22"/>
              </w:rPr>
              <w:t>−60 bps YoY</w:t>
            </w:r>
          </w:p>
        </w:tc>
        <w:tc>
          <w:tcPr>
            <w:tcW w:type="dxa" w:w="1234"/>
          </w:tcPr>
          <w:p>
            <w:r>
              <w:rPr>
                <w:rFonts w:ascii="Calibri" w:hAnsi="Calibri"/>
                <w:sz w:val="22"/>
              </w:rPr>
              <w:t>1.7%–3.1% (mid 2.4%)</w:t>
            </w:r>
          </w:p>
        </w:tc>
        <w:tc>
          <w:tcPr>
            <w:tcW w:type="dxa" w:w="1234"/>
          </w:tcPr>
          <w:p>
            <w:r>
              <w:rPr>
                <w:rFonts w:ascii="Calibri" w:hAnsi="Calibri"/>
                <w:sz w:val="22"/>
              </w:rPr>
              <w:t>+8% above mid</w:t>
            </w:r>
          </w:p>
        </w:tc>
      </w:tr>
      <w:tr>
        <w:tc>
          <w:tcPr>
            <w:tcW w:type="dxa" w:w="1234"/>
          </w:tcPr>
          <w:p>
            <w:r>
              <w:rPr>
                <w:rFonts w:ascii="Calibri" w:hAnsi="Calibri"/>
                <w:sz w:val="22"/>
              </w:rPr>
              <w:t>Effective Blended Lease Rate — Same Store (%)</w:t>
            </w:r>
          </w:p>
        </w:tc>
        <w:tc>
          <w:tcPr>
            <w:tcW w:type="dxa" w:w="1234"/>
          </w:tcPr>
          <w:p>
            <w:r>
              <w:rPr>
                <w:rFonts w:ascii="Calibri" w:hAnsi="Calibri"/>
                <w:sz w:val="22"/>
              </w:rPr>
              <w:t>1.4%</w:t>
            </w:r>
          </w:p>
        </w:tc>
        <w:tc>
          <w:tcPr>
            <w:tcW w:type="dxa" w:w="1234"/>
          </w:tcPr>
          <w:p>
            <w:r>
              <w:rPr>
                <w:rFonts w:ascii="Calibri" w:hAnsi="Calibri"/>
                <w:sz w:val="22"/>
              </w:rPr>
              <w:t>3.8%</w:t>
            </w:r>
          </w:p>
        </w:tc>
        <w:tc>
          <w:tcPr>
            <w:tcW w:type="dxa" w:w="1234"/>
          </w:tcPr>
          <w:p>
            <w:r>
              <w:rPr>
                <w:rFonts w:ascii="Calibri" w:hAnsi="Calibri"/>
                <w:sz w:val="22"/>
              </w:rPr>
              <w:t>~3.1%</w:t>
            </w:r>
          </w:p>
        </w:tc>
        <w:tc>
          <w:tcPr>
            <w:tcW w:type="dxa" w:w="1234"/>
          </w:tcPr>
          <w:p>
            <w:r>
              <w:rPr>
                <w:rFonts w:ascii="Calibri" w:hAnsi="Calibri"/>
                <w:sz w:val="22"/>
              </w:rPr>
              <w:t>−70 bps YoY</w:t>
            </w:r>
          </w:p>
        </w:tc>
        <w:tc>
          <w:tcPr>
            <w:tcW w:type="dxa" w:w="1234"/>
          </w:tcPr>
          <w:p>
            <w:r>
              <w:rPr>
                <w:rFonts w:ascii="Calibri" w:hAnsi="Calibri"/>
                <w:sz w:val="22"/>
              </w:rPr>
              <w:t>N/A (not guided)</w:t>
            </w:r>
          </w:p>
        </w:tc>
        <w:tc>
          <w:tcPr>
            <w:tcW w:type="dxa" w:w="1234"/>
          </w:tcPr>
          <w:p>
            <w:r>
              <w:rPr>
                <w:rFonts w:ascii="Calibri" w:hAnsi="Calibri"/>
                <w:sz w:val="22"/>
              </w:rPr>
              <w:t>N/A</w:t>
            </w:r>
          </w:p>
        </w:tc>
      </w:tr>
      <w:tr>
        <w:tc>
          <w:tcPr>
            <w:tcW w:type="dxa" w:w="1234"/>
          </w:tcPr>
          <w:p>
            <w:r>
              <w:rPr>
                <w:rFonts w:ascii="Calibri" w:hAnsi="Calibri"/>
                <w:sz w:val="22"/>
              </w:rPr>
              <w:t>Same-Store Occupancy (%)</w:t>
            </w:r>
          </w:p>
        </w:tc>
        <w:tc>
          <w:tcPr>
            <w:tcW w:type="dxa" w:w="1234"/>
          </w:tcPr>
          <w:p>
            <w:r>
              <w:rPr>
                <w:rFonts w:ascii="Calibri" w:hAnsi="Calibri"/>
                <w:sz w:val="22"/>
              </w:rPr>
              <w:t>96.5%</w:t>
            </w:r>
          </w:p>
        </w:tc>
        <w:tc>
          <w:tcPr>
            <w:tcW w:type="dxa" w:w="1234"/>
          </w:tcPr>
          <w:p>
            <w:r>
              <w:rPr>
                <w:rFonts w:ascii="Calibri" w:hAnsi="Calibri"/>
                <w:sz w:val="22"/>
              </w:rPr>
              <w:t>96.2%</w:t>
            </w:r>
          </w:p>
        </w:tc>
        <w:tc>
          <w:tcPr>
            <w:tcW w:type="dxa" w:w="1234"/>
          </w:tcPr>
          <w:p>
            <w:r>
              <w:rPr>
                <w:rFonts w:ascii="Calibri" w:hAnsi="Calibri"/>
                <w:sz w:val="22"/>
              </w:rPr>
              <w:t>~96.4%</w:t>
            </w:r>
          </w:p>
        </w:tc>
        <w:tc>
          <w:tcPr>
            <w:tcW w:type="dxa" w:w="1234"/>
          </w:tcPr>
          <w:p>
            <w:r>
              <w:rPr>
                <w:rFonts w:ascii="Calibri" w:hAnsi="Calibri"/>
                <w:sz w:val="22"/>
              </w:rPr>
              <w:t>+20 bps YoY</w:t>
            </w:r>
          </w:p>
        </w:tc>
        <w:tc>
          <w:tcPr>
            <w:tcW w:type="dxa" w:w="1234"/>
          </w:tcPr>
          <w:p>
            <w:r>
              <w:rPr>
                <w:rFonts w:ascii="Calibri" w:hAnsi="Calibri"/>
                <w:sz w:val="22"/>
              </w:rPr>
              <w:t>N/A (not guided)</w:t>
            </w:r>
          </w:p>
        </w:tc>
        <w:tc>
          <w:tcPr>
            <w:tcW w:type="dxa" w:w="1234"/>
          </w:tcPr>
          <w:p>
            <w:r>
              <w:rPr>
                <w:rFonts w:ascii="Calibri" w:hAnsi="Calibri"/>
                <w:sz w:val="22"/>
              </w:rPr>
              <w:t>N/A</w:t>
            </w:r>
          </w:p>
        </w:tc>
      </w:tr>
    </w:tbl>
    <w:p>
      <w:r>
        <w:rPr>
          <w:rFonts w:ascii="Calibri" w:hAnsi="Calibri"/>
          <w:color w:val="525866"/>
          <w:sz w:val="22"/>
        </w:rPr>
        <w:t>Sources: Visible Alpha Consensus and Actuals Data; ESS Q1 2026 Earnings Release (April 28, 2026). Consensus figures as of July 28, 2026. Q2 2026 guidance from Q1 2026 earnings release.</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b/>
                <w:sz w:val="22"/>
              </w:rPr>
              <w:t>Core FFO / Share</w:t>
            </w:r>
          </w:p>
        </w:tc>
        <w:tc>
          <w:tcPr>
            <w:tcW w:type="dxa" w:w="1728"/>
          </w:tcPr>
          <w:p>
            <w:r>
              <w:rPr>
                <w:rFonts w:ascii="Calibri" w:hAnsi="Calibri"/>
                <w:sz w:val="22"/>
              </w:rPr>
            </w:r>
          </w:p>
        </w:tc>
        <w:tc>
          <w:tcPr>
            <w:tcW w:type="dxa" w:w="1728"/>
          </w:tcPr>
          <w:p>
            <w:r>
              <w:rPr>
                <w:rFonts w:ascii="Calibri" w:hAnsi="Calibri"/>
                <w:sz w:val="22"/>
              </w:rPr>
            </w:r>
          </w:p>
        </w:tc>
        <w:tc>
          <w:tcPr>
            <w:tcW w:type="dxa" w:w="1728"/>
          </w:tcPr>
          <w:p>
            <w:r>
              <w:rPr>
                <w:rFonts w:ascii="Calibri" w:hAnsi="Calibri"/>
                <w:sz w:val="22"/>
              </w:rPr>
            </w:r>
          </w:p>
        </w:tc>
        <w:tc>
          <w:tcPr>
            <w:tcW w:type="dxa" w:w="1728"/>
          </w:tcPr>
          <w:p>
            <w:r>
              <w:rPr>
                <w:rFonts w:ascii="Calibri" w:hAnsi="Calibri"/>
                <w:sz w:val="22"/>
              </w:rPr>
            </w:r>
          </w:p>
        </w:tc>
      </w:tr>
      <w:tr>
        <w:tc>
          <w:tcPr>
            <w:tcW w:type="dxa" w:w="1728"/>
          </w:tcPr>
          <w:p>
            <w:r>
              <w:rPr>
                <w:rFonts w:ascii="Calibri" w:hAnsi="Calibri"/>
                <w:sz w:val="22"/>
              </w:rPr>
              <w:t>Q1 2026</w:t>
            </w:r>
          </w:p>
        </w:tc>
        <w:tc>
          <w:tcPr>
            <w:tcW w:type="dxa" w:w="1728"/>
          </w:tcPr>
          <w:p>
            <w:r>
              <w:rPr>
                <w:rFonts w:ascii="Calibri" w:hAnsi="Calibri"/>
                <w:sz w:val="22"/>
              </w:rPr>
              <w:t>$4.06</w:t>
            </w:r>
          </w:p>
        </w:tc>
        <w:tc>
          <w:tcPr>
            <w:tcW w:type="dxa" w:w="1728"/>
          </w:tcPr>
          <w:p>
            <w:r>
              <w:rPr>
                <w:rFonts w:ascii="Calibri" w:hAnsi="Calibri"/>
                <w:sz w:val="22"/>
              </w:rPr>
              <w:t>$3.96</w:t>
            </w:r>
          </w:p>
        </w:tc>
        <w:tc>
          <w:tcPr>
            <w:tcW w:type="dxa" w:w="1728"/>
          </w:tcPr>
          <w:p>
            <w:r>
              <w:rPr>
                <w:rFonts w:ascii="Calibri" w:hAnsi="Calibri"/>
                <w:b/>
                <w:color w:val="30A46C"/>
                <w:sz w:val="22"/>
              </w:rPr>
              <w:t>+2.5%</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$3.98</w:t>
            </w:r>
          </w:p>
        </w:tc>
        <w:tc>
          <w:tcPr>
            <w:tcW w:type="dxa" w:w="1728"/>
          </w:tcPr>
          <w:p>
            <w:r>
              <w:rPr>
                <w:rFonts w:ascii="Calibri" w:hAnsi="Calibri"/>
                <w:sz w:val="22"/>
              </w:rPr>
              <w:t>$4.00</w:t>
            </w:r>
          </w:p>
        </w:tc>
        <w:tc>
          <w:tcPr>
            <w:tcW w:type="dxa" w:w="1728"/>
          </w:tcPr>
          <w:p>
            <w:r>
              <w:rPr>
                <w:rFonts w:ascii="Calibri" w:hAnsi="Calibri"/>
                <w:b/>
                <w:color w:val="E5484D"/>
                <w:sz w:val="22"/>
              </w:rPr>
              <w:t>−0.5%</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$3.97</w:t>
            </w:r>
          </w:p>
        </w:tc>
        <w:tc>
          <w:tcPr>
            <w:tcW w:type="dxa" w:w="1728"/>
          </w:tcPr>
          <w:p>
            <w:r>
              <w:rPr>
                <w:rFonts w:ascii="Calibri" w:hAnsi="Calibri"/>
                <w:sz w:val="22"/>
              </w:rPr>
              <w:t>$3.95</w:t>
            </w:r>
          </w:p>
        </w:tc>
        <w:tc>
          <w:tcPr>
            <w:tcW w:type="dxa" w:w="1728"/>
          </w:tcPr>
          <w:p>
            <w:r>
              <w:rPr>
                <w:rFonts w:ascii="Calibri" w:hAnsi="Calibri"/>
                <w:b/>
                <w:color w:val="30A46C"/>
                <w:sz w:val="22"/>
              </w:rPr>
              <w:t>+0.5%</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$4.03</w:t>
            </w:r>
          </w:p>
        </w:tc>
        <w:tc>
          <w:tcPr>
            <w:tcW w:type="dxa" w:w="1728"/>
          </w:tcPr>
          <w:p>
            <w:r>
              <w:rPr>
                <w:rFonts w:ascii="Calibri" w:hAnsi="Calibri"/>
                <w:sz w:val="22"/>
              </w:rPr>
              <w:t>$3.98</w:t>
            </w:r>
          </w:p>
        </w:tc>
        <w:tc>
          <w:tcPr>
            <w:tcW w:type="dxa" w:w="1728"/>
          </w:tcPr>
          <w:p>
            <w:r>
              <w:rPr>
                <w:rFonts w:ascii="Calibri" w:hAnsi="Calibri"/>
                <w:b/>
                <w:color w:val="30A46C"/>
                <w:sz w:val="22"/>
              </w:rPr>
              <w:t>+1.3%</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$3.97</w:t>
            </w:r>
          </w:p>
        </w:tc>
        <w:tc>
          <w:tcPr>
            <w:tcW w:type="dxa" w:w="1728"/>
          </w:tcPr>
          <w:p>
            <w:r>
              <w:rPr>
                <w:rFonts w:ascii="Calibri" w:hAnsi="Calibri"/>
                <w:sz w:val="22"/>
              </w:rPr>
              <w:t>$3.92</w:t>
            </w:r>
          </w:p>
        </w:tc>
        <w:tc>
          <w:tcPr>
            <w:tcW w:type="dxa" w:w="1728"/>
          </w:tcPr>
          <w:p>
            <w:r>
              <w:rPr>
                <w:rFonts w:ascii="Calibri" w:hAnsi="Calibri"/>
                <w:b/>
                <w:color w:val="30A46C"/>
                <w:sz w:val="22"/>
              </w:rPr>
              <w:t>+1.3%</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$3.92</w:t>
            </w:r>
          </w:p>
        </w:tc>
        <w:tc>
          <w:tcPr>
            <w:tcW w:type="dxa" w:w="1728"/>
          </w:tcPr>
          <w:p>
            <w:r>
              <w:rPr>
                <w:rFonts w:ascii="Calibri" w:hAnsi="Calibri"/>
                <w:sz w:val="22"/>
              </w:rPr>
              <w:t>$3.91</w:t>
            </w:r>
          </w:p>
        </w:tc>
        <w:tc>
          <w:tcPr>
            <w:tcW w:type="dxa" w:w="1728"/>
          </w:tcPr>
          <w:p>
            <w:r>
              <w:rPr>
                <w:rFonts w:ascii="Calibri" w:hAnsi="Calibri"/>
                <w:b/>
                <w:color w:val="30A46C"/>
                <w:sz w:val="22"/>
              </w:rPr>
              <w:t>+0.3%</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$3.91</w:t>
            </w:r>
          </w:p>
        </w:tc>
        <w:tc>
          <w:tcPr>
            <w:tcW w:type="dxa" w:w="1728"/>
          </w:tcPr>
          <w:p>
            <w:r>
              <w:rPr>
                <w:rFonts w:ascii="Calibri" w:hAnsi="Calibri"/>
                <w:sz w:val="22"/>
              </w:rPr>
              <w:t>$3.88</w:t>
            </w:r>
          </w:p>
        </w:tc>
        <w:tc>
          <w:tcPr>
            <w:tcW w:type="dxa" w:w="1728"/>
          </w:tcPr>
          <w:p>
            <w:r>
              <w:rPr>
                <w:rFonts w:ascii="Calibri" w:hAnsi="Calibri"/>
                <w:b/>
                <w:color w:val="30A46C"/>
                <w:sz w:val="22"/>
              </w:rPr>
              <w:t>+0.8%</w:t>
            </w:r>
          </w:p>
        </w:tc>
        <w:tc>
          <w:tcPr>
            <w:tcW w:type="dxa" w:w="1728"/>
          </w:tcPr>
          <w:p>
            <w:r>
              <w:rPr>
                <w:rFonts w:ascii="Calibri" w:hAnsi="Calibri"/>
                <w:b/>
                <w:color w:val="30A46C"/>
                <w:sz w:val="22"/>
              </w:rPr>
              <w:t>Beat</w:t>
            </w:r>
          </w:p>
        </w:tc>
      </w:tr>
      <w:tr>
        <w:tc>
          <w:tcPr>
            <w:tcW w:type="dxa" w:w="1728"/>
          </w:tcPr>
          <w:p>
            <w:r>
              <w:rPr>
                <w:rFonts w:ascii="Calibri" w:hAnsi="Calibri"/>
                <w:b/>
                <w:sz w:val="22"/>
              </w:rPr>
              <w:t>Same-Store NOI Growth YoY</w:t>
            </w:r>
          </w:p>
        </w:tc>
        <w:tc>
          <w:tcPr>
            <w:tcW w:type="dxa" w:w="1728"/>
          </w:tcPr>
          <w:p>
            <w:r>
              <w:rPr>
                <w:rFonts w:ascii="Calibri" w:hAnsi="Calibri"/>
                <w:sz w:val="22"/>
              </w:rPr>
            </w:r>
          </w:p>
        </w:tc>
        <w:tc>
          <w:tcPr>
            <w:tcW w:type="dxa" w:w="1728"/>
          </w:tcPr>
          <w:p>
            <w:r>
              <w:rPr>
                <w:rFonts w:ascii="Calibri" w:hAnsi="Calibri"/>
                <w:sz w:val="22"/>
              </w:rPr>
            </w:r>
          </w:p>
        </w:tc>
        <w:tc>
          <w:tcPr>
            <w:tcW w:type="dxa" w:w="1728"/>
          </w:tcPr>
          <w:p>
            <w:r>
              <w:rPr>
                <w:rFonts w:ascii="Calibri" w:hAnsi="Calibri"/>
                <w:sz w:val="22"/>
              </w:rPr>
            </w:r>
          </w:p>
        </w:tc>
        <w:tc>
          <w:tcPr>
            <w:tcW w:type="dxa" w:w="1728"/>
          </w:tcPr>
          <w:p>
            <w:r>
              <w:rPr>
                <w:rFonts w:ascii="Calibri" w:hAnsi="Calibri"/>
                <w:sz w:val="22"/>
              </w:rPr>
            </w:r>
          </w:p>
        </w:tc>
      </w:tr>
      <w:tr>
        <w:tc>
          <w:tcPr>
            <w:tcW w:type="dxa" w:w="1728"/>
          </w:tcPr>
          <w:p>
            <w:r>
              <w:rPr>
                <w:rFonts w:ascii="Calibri" w:hAnsi="Calibri"/>
                <w:sz w:val="22"/>
              </w:rPr>
              <w:t>Q1 2026</w:t>
            </w:r>
          </w:p>
        </w:tc>
        <w:tc>
          <w:tcPr>
            <w:tcW w:type="dxa" w:w="1728"/>
          </w:tcPr>
          <w:p>
            <w:r>
              <w:rPr>
                <w:rFonts w:ascii="Calibri" w:hAnsi="Calibri"/>
                <w:sz w:val="22"/>
              </w:rPr>
              <w:t>4.1%</w:t>
            </w:r>
          </w:p>
        </w:tc>
        <w:tc>
          <w:tcPr>
            <w:tcW w:type="dxa" w:w="1728"/>
          </w:tcPr>
          <w:p>
            <w:r>
              <w:rPr>
                <w:rFonts w:ascii="Calibri" w:hAnsi="Calibri"/>
                <w:sz w:val="22"/>
              </w:rPr>
              <w:t>2.5%</w:t>
            </w:r>
          </w:p>
        </w:tc>
        <w:tc>
          <w:tcPr>
            <w:tcW w:type="dxa" w:w="1728"/>
          </w:tcPr>
          <w:p>
            <w:r>
              <w:rPr>
                <w:rFonts w:ascii="Calibri" w:hAnsi="Calibri"/>
                <w:b/>
                <w:color w:val="30A46C"/>
                <w:sz w:val="22"/>
              </w:rPr>
              <w:t>+160 bps</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3.8%</w:t>
            </w:r>
          </w:p>
        </w:tc>
        <w:tc>
          <w:tcPr>
            <w:tcW w:type="dxa" w:w="1728"/>
          </w:tcPr>
          <w:p>
            <w:r>
              <w:rPr>
                <w:rFonts w:ascii="Calibri" w:hAnsi="Calibri"/>
                <w:sz w:val="22"/>
              </w:rPr>
              <w:t>3.6%</w:t>
            </w:r>
          </w:p>
        </w:tc>
        <w:tc>
          <w:tcPr>
            <w:tcW w:type="dxa" w:w="1728"/>
          </w:tcPr>
          <w:p>
            <w:r>
              <w:rPr>
                <w:rFonts w:ascii="Calibri" w:hAnsi="Calibri"/>
                <w:b/>
                <w:color w:val="30A46C"/>
                <w:sz w:val="22"/>
              </w:rPr>
              <w:t>+20 bps</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2.4%</w:t>
            </w:r>
          </w:p>
        </w:tc>
        <w:tc>
          <w:tcPr>
            <w:tcW w:type="dxa" w:w="1728"/>
          </w:tcPr>
          <w:p>
            <w:r>
              <w:rPr>
                <w:rFonts w:ascii="Calibri" w:hAnsi="Calibri"/>
                <w:sz w:val="22"/>
              </w:rPr>
              <w:t>2.6%</w:t>
            </w:r>
          </w:p>
        </w:tc>
        <w:tc>
          <w:tcPr>
            <w:tcW w:type="dxa" w:w="1728"/>
          </w:tcPr>
          <w:p>
            <w:r>
              <w:rPr>
                <w:rFonts w:ascii="Calibri" w:hAnsi="Calibri"/>
                <w:b/>
                <w:color w:val="E5484D"/>
                <w:sz w:val="22"/>
              </w:rPr>
              <w:t>−20 bps</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3.3%</w:t>
            </w:r>
          </w:p>
        </w:tc>
        <w:tc>
          <w:tcPr>
            <w:tcW w:type="dxa" w:w="1728"/>
          </w:tcPr>
          <w:p>
            <w:r>
              <w:rPr>
                <w:rFonts w:ascii="Calibri" w:hAnsi="Calibri"/>
                <w:sz w:val="22"/>
              </w:rPr>
              <w:t>2.6%</w:t>
            </w:r>
          </w:p>
        </w:tc>
        <w:tc>
          <w:tcPr>
            <w:tcW w:type="dxa" w:w="1728"/>
          </w:tcPr>
          <w:p>
            <w:r>
              <w:rPr>
                <w:rFonts w:ascii="Calibri" w:hAnsi="Calibri"/>
                <w:b/>
                <w:color w:val="30A46C"/>
                <w:sz w:val="22"/>
              </w:rPr>
              <w:t>+70 bps</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3.3%</w:t>
            </w:r>
          </w:p>
        </w:tc>
        <w:tc>
          <w:tcPr>
            <w:tcW w:type="dxa" w:w="1728"/>
          </w:tcPr>
          <w:p>
            <w:r>
              <w:rPr>
                <w:rFonts w:ascii="Calibri" w:hAnsi="Calibri"/>
                <w:sz w:val="22"/>
              </w:rPr>
              <w:t>2.7%</w:t>
            </w:r>
          </w:p>
        </w:tc>
        <w:tc>
          <w:tcPr>
            <w:tcW w:type="dxa" w:w="1728"/>
          </w:tcPr>
          <w:p>
            <w:r>
              <w:rPr>
                <w:rFonts w:ascii="Calibri" w:hAnsi="Calibri"/>
                <w:b/>
                <w:color w:val="30A46C"/>
                <w:sz w:val="22"/>
              </w:rPr>
              <w:t>+60 bps</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1.7%</w:t>
            </w:r>
          </w:p>
        </w:tc>
        <w:tc>
          <w:tcPr>
            <w:tcW w:type="dxa" w:w="1728"/>
          </w:tcPr>
          <w:p>
            <w:r>
              <w:rPr>
                <w:rFonts w:ascii="Calibri" w:hAnsi="Calibri"/>
                <w:sz w:val="22"/>
              </w:rPr>
              <w:t>2.6%</w:t>
            </w:r>
          </w:p>
        </w:tc>
        <w:tc>
          <w:tcPr>
            <w:tcW w:type="dxa" w:w="1728"/>
          </w:tcPr>
          <w:p>
            <w:r>
              <w:rPr>
                <w:rFonts w:ascii="Calibri" w:hAnsi="Calibri"/>
                <w:b/>
                <w:color w:val="E5484D"/>
                <w:sz w:val="22"/>
              </w:rPr>
              <w:t>−90 bps</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2.6%</w:t>
            </w:r>
          </w:p>
        </w:tc>
        <w:tc>
          <w:tcPr>
            <w:tcW w:type="dxa" w:w="1728"/>
          </w:tcPr>
          <w:p>
            <w:r>
              <w:rPr>
                <w:rFonts w:ascii="Calibri" w:hAnsi="Calibri"/>
                <w:sz w:val="22"/>
              </w:rPr>
              <w:t>2.5%</w:t>
            </w:r>
          </w:p>
        </w:tc>
        <w:tc>
          <w:tcPr>
            <w:tcW w:type="dxa" w:w="1728"/>
          </w:tcPr>
          <w:p>
            <w:r>
              <w:rPr>
                <w:rFonts w:ascii="Calibri" w:hAnsi="Calibri"/>
                <w:b/>
                <w:color w:val="30A46C"/>
                <w:sz w:val="22"/>
              </w:rPr>
              <w:t>+10 bps</w:t>
            </w:r>
          </w:p>
        </w:tc>
        <w:tc>
          <w:tcPr>
            <w:tcW w:type="dxa" w:w="1728"/>
          </w:tcPr>
          <w:p>
            <w:r>
              <w:rPr>
                <w:rFonts w:ascii="Calibri" w:hAnsi="Calibri"/>
                <w:b/>
                <w:color w:val="30A46C"/>
                <w:sz w:val="22"/>
              </w:rPr>
              <w:t>Beat</w:t>
            </w:r>
          </w:p>
        </w:tc>
      </w:tr>
    </w:tbl>
    <w:p>
      <w:r>
        <w:rPr>
          <w:rFonts w:ascii="Calibri" w:hAnsi="Calibri"/>
          <w:color w:val="525866"/>
          <w:sz w:val="22"/>
        </w:rPr>
        <w:t>Source: Visible Alpha Consensus and Actuals Data. ESS has beaten Core FFO consensus in 6 of the last 8 quarters, with the two misses concentrated in periods of structured finance headwinds (Q4 2024) and elevated expense timing (Q4 2025). Same-store NOI has beaten in 5 of 8 quarters, with the largest beat in Q1 2026 (+160 bps) driven by timing-related expense favorability that management flagged will reverse in H2.</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Full-year Core FFO guidance was reaffirmed at the Q1 print ($15.69–$16.19) and has not been formally revised since, but management’s June Nareit commentary was notably more constructive — confirming the portfolio is tracking ahead of guidance and signaling a potential raise once Q2 results are in hand.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Core FFO/Share</w:t>
            </w:r>
          </w:p>
        </w:tc>
        <w:tc>
          <w:tcPr>
            <w:tcW w:type="dxa" w:w="1728"/>
          </w:tcPr>
          <w:p>
            <w:r>
              <w:rPr>
                <w:rFonts w:ascii="Calibri" w:hAnsi="Calibri"/>
                <w:sz w:val="22"/>
              </w:rPr>
              <w:t>$3.92–$4.04 (mid $3.98)</w:t>
            </w:r>
          </w:p>
        </w:tc>
        <w:tc>
          <w:tcPr>
            <w:tcW w:type="dxa" w:w="1728"/>
          </w:tcPr>
          <w:p>
            <w:r>
              <w:rPr>
                <w:rFonts w:ascii="Calibri" w:hAnsi="Calibri"/>
                <w:sz w:val="22"/>
              </w:rPr>
              <w:t>—</w:t>
            </w:r>
          </w:p>
        </w:tc>
        <w:tc>
          <w:tcPr>
            <w:tcW w:type="dxa" w:w="1728"/>
          </w:tcPr>
          <w:p>
            <w:r>
              <w:rPr>
                <w:rFonts w:ascii="Calibri" w:hAnsi="Calibri"/>
                <w:sz w:val="22"/>
              </w:rPr>
              <w:t>$4.04</w:t>
            </w:r>
          </w:p>
        </w:tc>
        <w:tc>
          <w:tcPr>
            <w:tcW w:type="dxa" w:w="1728"/>
          </w:tcPr>
          <w:p>
            <w:r>
              <w:rPr>
                <w:rFonts w:ascii="Calibri" w:hAnsi="Calibri"/>
                <w:sz w:val="22"/>
              </w:rPr>
              <w:t>Unchanged; consensus sits at top of range</w:t>
            </w:r>
          </w:p>
        </w:tc>
      </w:tr>
      <w:tr>
        <w:tc>
          <w:tcPr>
            <w:tcW w:type="dxa" w:w="1728"/>
          </w:tcPr>
          <w:p>
            <w:r>
              <w:rPr>
                <w:rFonts w:ascii="Calibri" w:hAnsi="Calibri"/>
                <w:sz w:val="22"/>
              </w:rPr>
              <w:t>FY 2026 Core FFO/Share</w:t>
            </w:r>
          </w:p>
        </w:tc>
        <w:tc>
          <w:tcPr>
            <w:tcW w:type="dxa" w:w="1728"/>
          </w:tcPr>
          <w:p>
            <w:r>
              <w:rPr>
                <w:rFonts w:ascii="Calibri" w:hAnsi="Calibri"/>
                <w:sz w:val="22"/>
              </w:rPr>
              <w:t>$15.69–$16.19 (mid $15.94)</w:t>
            </w:r>
          </w:p>
        </w:tc>
        <w:tc>
          <w:tcPr>
            <w:tcW w:type="dxa" w:w="1728"/>
          </w:tcPr>
          <w:p>
            <w:r>
              <w:rPr>
                <w:rFonts w:ascii="Calibri" w:hAnsi="Calibri"/>
                <w:sz w:val="22"/>
              </w:rPr>
              <w:t>—</w:t>
            </w:r>
          </w:p>
        </w:tc>
        <w:tc>
          <w:tcPr>
            <w:tcW w:type="dxa" w:w="1728"/>
          </w:tcPr>
          <w:p>
            <w:r>
              <w:rPr>
                <w:rFonts w:ascii="Calibri" w:hAnsi="Calibri"/>
                <w:sz w:val="22"/>
              </w:rPr>
              <w:t>$16.11</w:t>
            </w:r>
          </w:p>
        </w:tc>
        <w:tc>
          <w:tcPr>
            <w:tcW w:type="dxa" w:w="1728"/>
          </w:tcPr>
          <w:p>
            <w:r>
              <w:rPr>
                <w:rFonts w:ascii="Calibri" w:hAnsi="Calibri"/>
                <w:sz w:val="22"/>
              </w:rPr>
              <w:t>Reaffirmed; consensus above mid; management flagged potential raise post-Q2 at June Nareit conference</w:t>
            </w:r>
          </w:p>
        </w:tc>
      </w:tr>
      <w:tr>
        <w:tc>
          <w:tcPr>
            <w:tcW w:type="dxa" w:w="1728"/>
          </w:tcPr>
          <w:p>
            <w:r>
              <w:rPr>
                <w:rFonts w:ascii="Calibri" w:hAnsi="Calibri"/>
                <w:sz w:val="22"/>
              </w:rPr>
              <w:t>FY 2026 Same-Store Revenue Growth</w:t>
            </w:r>
          </w:p>
        </w:tc>
        <w:tc>
          <w:tcPr>
            <w:tcW w:type="dxa" w:w="1728"/>
          </w:tcPr>
          <w:p>
            <w:r>
              <w:rPr>
                <w:rFonts w:ascii="Calibri" w:hAnsi="Calibri"/>
                <w:sz w:val="22"/>
              </w:rPr>
              <w:t>1.70%–3.10% (mid 2.40%)</w:t>
            </w:r>
          </w:p>
        </w:tc>
        <w:tc>
          <w:tcPr>
            <w:tcW w:type="dxa" w:w="1728"/>
          </w:tcPr>
          <w:p>
            <w:r>
              <w:rPr>
                <w:rFonts w:ascii="Calibri" w:hAnsi="Calibri"/>
                <w:sz w:val="22"/>
              </w:rPr>
              <w:t>—</w:t>
            </w:r>
          </w:p>
        </w:tc>
        <w:tc>
          <w:tcPr>
            <w:tcW w:type="dxa" w:w="1728"/>
          </w:tcPr>
          <w:p>
            <w:r>
              <w:rPr>
                <w:rFonts w:ascii="Calibri" w:hAnsi="Calibri"/>
                <w:sz w:val="22"/>
              </w:rPr>
              <w:t>~2.7%</w:t>
            </w:r>
          </w:p>
        </w:tc>
        <w:tc>
          <w:tcPr>
            <w:tcW w:type="dxa" w:w="1728"/>
          </w:tcPr>
          <w:p>
            <w:r>
              <w:rPr>
                <w:rFonts w:ascii="Calibri" w:hAnsi="Calibri"/>
                <w:sz w:val="22"/>
              </w:rPr>
              <w:t>Reaffirmed; consensus above mid; May blended rates of 3.7% suggest upside</w:t>
            </w:r>
          </w:p>
        </w:tc>
      </w:tr>
      <w:tr>
        <w:tc>
          <w:tcPr>
            <w:tcW w:type="dxa" w:w="1728"/>
          </w:tcPr>
          <w:p>
            <w:r>
              <w:rPr>
                <w:rFonts w:ascii="Calibri" w:hAnsi="Calibri"/>
                <w:sz w:val="22"/>
              </w:rPr>
              <w:t>FY 2026 Same-Store Expense Growth</w:t>
            </w:r>
          </w:p>
        </w:tc>
        <w:tc>
          <w:tcPr>
            <w:tcW w:type="dxa" w:w="1728"/>
          </w:tcPr>
          <w:p>
            <w:r>
              <w:rPr>
                <w:rFonts w:ascii="Calibri" w:hAnsi="Calibri"/>
                <w:sz w:val="22"/>
              </w:rPr>
              <w:t>2.50%–3.50% (mid 3.00%)</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Q1 expense timing benefit (~$0.04) expected to reverse in H2; full-year controllable spend ~2%</w:t>
            </w:r>
          </w:p>
        </w:tc>
      </w:tr>
      <w:tr>
        <w:tc>
          <w:tcPr>
            <w:tcW w:type="dxa" w:w="1728"/>
          </w:tcPr>
          <w:p>
            <w:r>
              <w:rPr>
                <w:rFonts w:ascii="Calibri" w:hAnsi="Calibri"/>
                <w:sz w:val="22"/>
              </w:rPr>
              <w:t>FY 2026 Same-Store NOI Growth</w:t>
            </w:r>
          </w:p>
        </w:tc>
        <w:tc>
          <w:tcPr>
            <w:tcW w:type="dxa" w:w="1728"/>
          </w:tcPr>
          <w:p>
            <w:r>
              <w:rPr>
                <w:rFonts w:ascii="Calibri" w:hAnsi="Calibri"/>
                <w:sz w:val="22"/>
              </w:rPr>
              <w:t>0.80%–3.40% (mid 2.10%)</w:t>
            </w:r>
          </w:p>
        </w:tc>
        <w:tc>
          <w:tcPr>
            <w:tcW w:type="dxa" w:w="1728"/>
          </w:tcPr>
          <w:p>
            <w:r>
              <w:rPr>
                <w:rFonts w:ascii="Calibri" w:hAnsi="Calibri"/>
                <w:sz w:val="22"/>
              </w:rPr>
              <w:t>—</w:t>
            </w:r>
          </w:p>
        </w:tc>
        <w:tc>
          <w:tcPr>
            <w:tcW w:type="dxa" w:w="1728"/>
          </w:tcPr>
          <w:p>
            <w:r>
              <w:rPr>
                <w:rFonts w:ascii="Calibri" w:hAnsi="Calibri"/>
                <w:sz w:val="22"/>
              </w:rPr>
              <w:t>~2.8%</w:t>
            </w:r>
          </w:p>
        </w:tc>
        <w:tc>
          <w:tcPr>
            <w:tcW w:type="dxa" w:w="1728"/>
          </w:tcPr>
          <w:p>
            <w:r>
              <w:rPr>
                <w:rFonts w:ascii="Calibri" w:hAnsi="Calibri"/>
                <w:sz w:val="22"/>
              </w:rPr>
              <w:t>Reaffirmed; consensus above mid; H2 expense reversal is key risk to upside</w:t>
            </w:r>
          </w:p>
        </w:tc>
      </w:tr>
      <w:tr>
        <w:tc>
          <w:tcPr>
            <w:tcW w:type="dxa" w:w="1728"/>
          </w:tcPr>
          <w:p>
            <w:r>
              <w:rPr>
                <w:rFonts w:ascii="Calibri" w:hAnsi="Calibri"/>
                <w:sz w:val="22"/>
              </w:rPr>
              <w:t>Structured Finance Redemptions</w:t>
            </w:r>
          </w:p>
        </w:tc>
        <w:tc>
          <w:tcPr>
            <w:tcW w:type="dxa" w:w="1728"/>
          </w:tcPr>
          <w:p>
            <w:r>
              <w:rPr>
                <w:rFonts w:ascii="Calibri" w:hAnsi="Calibri"/>
                <w:sz w:val="22"/>
              </w:rPr>
              <w:t>$90M early redemption in Q2 2026 (originally 2027–2028 maturities); $0.07 H2 FFO headwind</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Headwind largely offset by ~$62M share buybacks at avg $243.76; structured finance overhang now “effectively behind us”</w:t>
            </w:r>
          </w:p>
        </w:tc>
      </w:tr>
    </w:tbl>
    <w:p>
      <w:r>
        <w:rPr>
          <w:rFonts w:ascii="Calibri" w:hAnsi="Calibri"/>
          <w:color w:val="525866"/>
          <w:sz w:val="22"/>
        </w:rPr>
        <w:t>Sources: ESS Q1 2026 Earnings Release (April 28, 2026); ESS Q1 2026 Earnings Call Transcript (April 29, 2026); ESS Nareit REITweek Conference Transcript (June 3,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for Q2 Core FFO have been remarkably stable since the Q1 print, drifting only ~$0.001 lower, while same-store NOI estimates have been revised </w:t>
      </w:r>
      <w:r>
        <w:rPr>
          <w:rFonts w:ascii="Calibri" w:hAnsi="Calibri"/>
          <w:b/>
          <w:color w:val="525866"/>
          <w:sz w:val="22"/>
        </w:rPr>
        <w:t>upward</w:t>
      </w:r>
      <w:r>
        <w:rPr>
          <w:rFonts w:ascii="Calibri" w:hAnsi="Calibri"/>
          <w:color w:val="525866"/>
          <w:sz w:val="22"/>
        </w:rPr>
        <w:t xml:space="preserve"> by ~27 bps since early May — a constructive signal that the Street is gradually gaining confidence in the leasing trajectory. Full-year Core FFO consensus has risen ~$0.01 since the Q1 print, tracking above the guidance midpoint.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5,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Mid (%)</w:t>
            </w:r>
          </w:p>
        </w:tc>
      </w:tr>
      <w:tr>
        <w:tc>
          <w:tcPr>
            <w:tcW w:type="dxa" w:w="1080"/>
          </w:tcPr>
          <w:p>
            <w:r>
              <w:rPr>
                <w:rFonts w:ascii="Calibri" w:hAnsi="Calibri"/>
                <w:sz w:val="22"/>
              </w:rPr>
              <w:t>Core FFO/Share (Q2 2026)</w:t>
            </w:r>
          </w:p>
        </w:tc>
        <w:tc>
          <w:tcPr>
            <w:tcW w:type="dxa" w:w="1080"/>
          </w:tcPr>
          <w:p>
            <w:r>
              <w:rPr>
                <w:rFonts w:ascii="Calibri" w:hAnsi="Calibri"/>
                <w:sz w:val="22"/>
              </w:rPr>
              <w:t>$4.037</w:t>
            </w:r>
          </w:p>
        </w:tc>
        <w:tc>
          <w:tcPr>
            <w:tcW w:type="dxa" w:w="1080"/>
          </w:tcPr>
          <w:p>
            <w:r>
              <w:rPr>
                <w:rFonts w:ascii="Calibri" w:hAnsi="Calibri"/>
                <w:sz w:val="22"/>
              </w:rPr>
              <w:t>$4.039</w:t>
            </w:r>
          </w:p>
        </w:tc>
        <w:tc>
          <w:tcPr>
            <w:tcW w:type="dxa" w:w="1080"/>
          </w:tcPr>
          <w:p>
            <w:r>
              <w:rPr>
                <w:rFonts w:ascii="Calibri" w:hAnsi="Calibri"/>
                <w:sz w:val="22"/>
              </w:rPr>
              <w:t>+0.05%</w:t>
            </w:r>
          </w:p>
        </w:tc>
        <w:tc>
          <w:tcPr>
            <w:tcW w:type="dxa" w:w="1080"/>
          </w:tcPr>
          <w:p>
            <w:r>
              <w:rPr>
                <w:rFonts w:ascii="Calibri" w:hAnsi="Calibri"/>
                <w:sz w:val="22"/>
              </w:rPr>
              <w:t>$3.92–$4.04 (mid $3.98)</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+1.5% above mid</w:t>
            </w:r>
          </w:p>
        </w:tc>
      </w:tr>
      <w:tr>
        <w:tc>
          <w:tcPr>
            <w:tcW w:type="dxa" w:w="1080"/>
          </w:tcPr>
          <w:p>
            <w:r>
              <w:rPr>
                <w:rFonts w:ascii="Calibri" w:hAnsi="Calibri"/>
                <w:sz w:val="22"/>
              </w:rPr>
              <w:t>Core FFO/Share (FY 2026)</w:t>
            </w:r>
          </w:p>
        </w:tc>
        <w:tc>
          <w:tcPr>
            <w:tcW w:type="dxa" w:w="1080"/>
          </w:tcPr>
          <w:p>
            <w:r>
              <w:rPr>
                <w:rFonts w:ascii="Calibri" w:hAnsi="Calibri"/>
                <w:sz w:val="22"/>
              </w:rPr>
              <w:t>$16.099</w:t>
            </w:r>
          </w:p>
        </w:tc>
        <w:tc>
          <w:tcPr>
            <w:tcW w:type="dxa" w:w="1080"/>
          </w:tcPr>
          <w:p>
            <w:r>
              <w:rPr>
                <w:rFonts w:ascii="Calibri" w:hAnsi="Calibri"/>
                <w:sz w:val="22"/>
              </w:rPr>
              <w:t>$16.111</w:t>
            </w:r>
          </w:p>
        </w:tc>
        <w:tc>
          <w:tcPr>
            <w:tcW w:type="dxa" w:w="1080"/>
          </w:tcPr>
          <w:p>
            <w:r>
              <w:rPr>
                <w:rFonts w:ascii="Calibri" w:hAnsi="Calibri"/>
                <w:sz w:val="22"/>
              </w:rPr>
              <w:t>+0.07%</w:t>
            </w:r>
          </w:p>
        </w:tc>
        <w:tc>
          <w:tcPr>
            <w:tcW w:type="dxa" w:w="1080"/>
          </w:tcPr>
          <w:p>
            <w:r>
              <w:rPr>
                <w:rFonts w:ascii="Calibri" w:hAnsi="Calibri"/>
                <w:sz w:val="22"/>
              </w:rPr>
              <w:t>$15.69–$16.19 (mid $15.94)</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+1.1% above mid</w:t>
            </w:r>
          </w:p>
        </w:tc>
      </w:tr>
      <w:tr>
        <w:tc>
          <w:tcPr>
            <w:tcW w:type="dxa" w:w="1080"/>
          </w:tcPr>
          <w:p>
            <w:r>
              <w:rPr>
                <w:rFonts w:ascii="Calibri" w:hAnsi="Calibri"/>
                <w:sz w:val="22"/>
              </w:rPr>
              <w:t>Same-Store NOI Growth YoY (Q2 2026)</w:t>
            </w:r>
          </w:p>
        </w:tc>
        <w:tc>
          <w:tcPr>
            <w:tcW w:type="dxa" w:w="1080"/>
          </w:tcPr>
          <w:p>
            <w:r>
              <w:rPr>
                <w:rFonts w:ascii="Calibri" w:hAnsi="Calibri"/>
                <w:sz w:val="22"/>
              </w:rPr>
              <w:t>1.99%</w:t>
            </w:r>
          </w:p>
        </w:tc>
        <w:tc>
          <w:tcPr>
            <w:tcW w:type="dxa" w:w="1080"/>
          </w:tcPr>
          <w:p>
            <w:r>
              <w:rPr>
                <w:rFonts w:ascii="Calibri" w:hAnsi="Calibri"/>
                <w:sz w:val="22"/>
              </w:rPr>
              <w:t>2.27%</w:t>
            </w:r>
          </w:p>
        </w:tc>
        <w:tc>
          <w:tcPr>
            <w:tcW w:type="dxa" w:w="1080"/>
          </w:tcPr>
          <w:p>
            <w:r>
              <w:rPr>
                <w:rFonts w:ascii="Calibri" w:hAnsi="Calibri"/>
                <w:sz w:val="22"/>
              </w:rPr>
              <w:t>+14%</w:t>
            </w:r>
          </w:p>
        </w:tc>
        <w:tc>
          <w:tcPr>
            <w:tcW w:type="dxa" w:w="1080"/>
          </w:tcPr>
          <w:p>
            <w:r>
              <w:rPr>
                <w:rFonts w:ascii="Calibri" w:hAnsi="Calibri"/>
                <w:sz w:val="22"/>
              </w:rPr>
              <w:t>0.80%–3.40% (mid 2.10%)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+8% above mid</w:t>
            </w:r>
          </w:p>
        </w:tc>
      </w:tr>
      <w:tr>
        <w:tc>
          <w:tcPr>
            <w:tcW w:type="dxa" w:w="1080"/>
          </w:tcPr>
          <w:p>
            <w:r>
              <w:rPr>
                <w:rFonts w:ascii="Calibri" w:hAnsi="Calibri"/>
                <w:sz w:val="22"/>
              </w:rPr>
              <w:t>Same-Store NOI Growth YoY (FY 2026)</w:t>
            </w:r>
          </w:p>
        </w:tc>
        <w:tc>
          <w:tcPr>
            <w:tcW w:type="dxa" w:w="1080"/>
          </w:tcPr>
          <w:p>
            <w:r>
              <w:rPr>
                <w:rFonts w:ascii="Calibri" w:hAnsi="Calibri"/>
                <w:sz w:val="22"/>
              </w:rPr>
              <w:t>2.46%</w:t>
            </w:r>
          </w:p>
        </w:tc>
        <w:tc>
          <w:tcPr>
            <w:tcW w:type="dxa" w:w="1080"/>
          </w:tcPr>
          <w:p>
            <w:r>
              <w:rPr>
                <w:rFonts w:ascii="Calibri" w:hAnsi="Calibri"/>
                <w:sz w:val="22"/>
              </w:rPr>
              <w:t>2.82%</w:t>
            </w:r>
          </w:p>
        </w:tc>
        <w:tc>
          <w:tcPr>
            <w:tcW w:type="dxa" w:w="1080"/>
          </w:tcPr>
          <w:p>
            <w:r>
              <w:rPr>
                <w:rFonts w:ascii="Calibri" w:hAnsi="Calibri"/>
                <w:sz w:val="22"/>
              </w:rPr>
              <w:t>+15%</w:t>
            </w:r>
          </w:p>
        </w:tc>
        <w:tc>
          <w:tcPr>
            <w:tcW w:type="dxa" w:w="1080"/>
          </w:tcPr>
          <w:p>
            <w:r>
              <w:rPr>
                <w:rFonts w:ascii="Calibri" w:hAnsi="Calibri"/>
                <w:sz w:val="22"/>
              </w:rPr>
              <w:t>0.80%–3.40% (mid 2.10%)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+34% above mid</w:t>
            </w:r>
          </w:p>
        </w:tc>
      </w:tr>
    </w:tbl>
    <w:p>
      <w:r>
        <w:rPr>
          <w:rFonts w:ascii="Calibri" w:hAnsi="Calibri"/>
          <w:color w:val="525866"/>
          <w:sz w:val="22"/>
        </w:rPr>
        <w:t>Source: Visible Alpha Consensus and Actuals Data (revision history table, weekly frequency, May 1 – July 28, 2026). The upward drift in same-store NOI estimates since early May — from 1.99% to 2.27% for Q2 and from 2.46% to 2.82% for FY — reflects the Street gradually incorporating management’s constructive Nareit commentary and improving leasing data. Core FFO estimates have been essentially flat, suggesting the market is not yet pricing in a guidance raise; any raise at Q2 would likely be a positive catalyst.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ESS has outperformed both the residential REIT ETF (REZ) and the S&amp;P 500 since the Q1 print, with the ~10% gain driven almost entirely by </w:t>
      </w:r>
      <w:r>
        <w:rPr>
          <w:rFonts w:ascii="Calibri" w:hAnsi="Calibri"/>
          <w:b/>
          <w:color w:val="525866"/>
          <w:sz w:val="22"/>
        </w:rPr>
        <w:t>multiple expansion</w:t>
      </w:r>
      <w:r>
        <w:rPr>
          <w:rFonts w:ascii="Calibri" w:hAnsi="Calibri"/>
          <w:color w:val="525866"/>
          <w:sz w:val="22"/>
        </w:rPr>
        <w:t xml:space="preserve"> (NTM EV/EBITDA expanded from ~18.0x to ~19.6x) rather than estimate revisions, suggesting sentiment re-rating rather than fundamental upgrade — which makes the stock more vulnerable to disappointment.</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ESS vs. REZ (Residential REIT ETF) vs. S&amp;P 500 — Indexed to 100 at April 28, 2026 (Q1 2026 Earnings Date). Source: Stock Price Data (Yahoo Finance). Vertical dashed line marks the June 3, 2026 Nareit REITweek conference.</w:t>
      </w:r>
    </w:p>
    <w:p>
      <w:r>
        <w:rPr>
          <w:rFonts w:ascii="Calibri" w:hAnsi="Calibri"/>
          <w:color w:val="525866"/>
          <w:sz w:val="22"/>
        </w:rPr>
        <w:t>Since the Q1 2026 earnings print on April 28, ESS has gained approximately +10% (from $267.88 to ~$294 as of July 28), outperforming REZ (+10.5%) and the S&amp;P 500 (+4.0%). The stock’s NTM EV/EBITDA multiple expanded from ~18.0x to ~19.6x over the same period, accounting for the bulk of the price appreciation. Estimate revisions contributed minimally — Core FFO consensus moved only ~$0.01 higher. The June 3 Nareit conference was a notable catalyst, with the stock rallying ~2.5% in the days following management’s constructive commentary on May blended lease rates (3.7%) and the portfolio tracking ahead of guidance. The stock pulled back modestly in mid-July before stabilizing near $293–$295. At current levels, ESS trades at ~19.6x NTM EV/EBITDA vs. its 3-month average of ~18.0x, suggesting the easy multiple re-rating may be largely complete and the next leg of performance will need to be driven by fundamental beats and/or a guidance raise.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announced AVB/EQR merger of equals (May 21, 2026), which would leave ESS as the </w:t>
      </w:r>
      <w:r>
        <w:rPr>
          <w:rFonts w:ascii="Calibri" w:hAnsi="Calibri"/>
          <w:b/>
          <w:color w:val="525866"/>
          <w:sz w:val="22"/>
        </w:rPr>
        <w:t>only pure-play coastal multifamily REIT</w:t>
      </w:r>
      <w:r>
        <w:rPr>
          <w:rFonts w:ascii="Calibri" w:hAnsi="Calibri"/>
          <w:color w:val="525866"/>
          <w:sz w:val="22"/>
        </w:rPr>
        <w:t xml:space="preserve"> — a structural re-rating catalyst that management views with measured confidence.</w:t>
      </w:r>
    </w:p>
    <w:p>
      <w:pPr>
        <w:pStyle w:val="ListBullet"/>
        <w:ind w:left="360" w:hanging="360"/>
      </w:pPr>
      <w:r>
        <w:rPr>
          <w:rFonts w:ascii="Calibri" w:hAnsi="Calibri"/>
          <w:b/>
          <w:color w:val="525866"/>
          <w:sz w:val="22"/>
        </w:rPr>
        <w:t>May 21, 2026 — AVB/EQR Merger of Equals Announced:</w:t>
      </w:r>
      <w:r>
        <w:rPr>
          <w:rFonts w:ascii="Calibri" w:hAnsi="Calibri"/>
          <w:color w:val="525866"/>
          <w:sz w:val="22"/>
        </w:rPr>
        <w:t xml:space="preserve"> AvalonBay and Equity Residential announced a definitive all-stock merger creating a ~$53B equity market cap / ~$71B enterprise value entity with 180,000+ apartments. Upon close (expected H2 2026), ESS becomes the only pure-play coastal multifamily REIT. </w:t>
      </w:r>
      <w:r>
        <w:rPr>
          <w:rFonts w:ascii="Calibri" w:hAnsi="Calibri"/>
          <w:i/>
          <w:color w:val="525866"/>
          <w:sz w:val="22"/>
        </w:rPr>
        <w:t>Implication:</w:t>
      </w:r>
      <w:r>
        <w:rPr>
          <w:rFonts w:ascii="Calibri" w:hAnsi="Calibri"/>
          <w:color w:val="525866"/>
          <w:sz w:val="22"/>
        </w:rPr>
        <w:t xml:space="preserve"> Potential re-rating catalyst as index-tracking and sector-specialist investors seeking coastal multifamily exposure have only one option. Management has characterized this positioning with measured confidence rather than alarm.</w:t>
      </w:r>
    </w:p>
    <w:p>
      <w:pPr>
        <w:pStyle w:val="ListBullet"/>
        <w:ind w:left="360" w:hanging="360"/>
      </w:pPr>
      <w:r>
        <w:rPr>
          <w:rFonts w:ascii="Calibri" w:hAnsi="Calibri"/>
          <w:b/>
          <w:color w:val="525866"/>
          <w:sz w:val="22"/>
        </w:rPr>
        <w:t>June 3, 2026 — Nareit REITweek Conference:</w:t>
      </w:r>
      <w:r>
        <w:rPr>
          <w:rFonts w:ascii="Calibri" w:hAnsi="Calibri"/>
          <w:color w:val="525866"/>
          <w:sz w:val="22"/>
        </w:rPr>
        <w:t xml:space="preserve"> CEO Angela Kleiman confirmed blended lease rates accelerated to 3.7% in May (vs. 3.1% in April and 1.4% in Q1), that the portfolio is “trending ahead of guidance,” and that management will “revisit how we’re going to guide the Street” once Q2 results are available. Northern California blended rates were described as leading, with Oakland highlighted as the “most underappreciated Essex market.” </w:t>
      </w:r>
      <w:r>
        <w:rPr>
          <w:rFonts w:ascii="Calibri" w:hAnsi="Calibri"/>
          <w:i/>
          <w:color w:val="525866"/>
          <w:sz w:val="22"/>
        </w:rPr>
        <w:t>Implication:</w:t>
      </w:r>
      <w:r>
        <w:rPr>
          <w:rFonts w:ascii="Calibri" w:hAnsi="Calibri"/>
          <w:color w:val="525866"/>
          <w:sz w:val="22"/>
        </w:rPr>
        <w:t xml:space="preserve"> Strong setup for a guidance raise at Q2 earnings.</w:t>
      </w:r>
    </w:p>
    <w:p>
      <w:pPr>
        <w:pStyle w:val="ListBullet"/>
        <w:ind w:left="360" w:hanging="360"/>
      </w:pPr>
      <w:r>
        <w:rPr>
          <w:rFonts w:ascii="Calibri" w:hAnsi="Calibri"/>
          <w:b/>
          <w:color w:val="525866"/>
          <w:sz w:val="22"/>
        </w:rPr>
        <w:t>Q2 2026 (mid-quarter) — Structured Finance Redemption:</w:t>
      </w:r>
      <w:r>
        <w:rPr>
          <w:rFonts w:ascii="Calibri" w:hAnsi="Calibri"/>
          <w:color w:val="525866"/>
          <w:sz w:val="22"/>
        </w:rPr>
        <w:t xml:space="preserve"> The $90M early structured finance redemption (originally 2027–2028 maturities) was expected to occur mid-Q2, creating a $0.07 H2 FFO headwind largely offset by ~$62M in share buybacks at $243.76/share. </w:t>
      </w:r>
      <w:r>
        <w:rPr>
          <w:rFonts w:ascii="Calibri" w:hAnsi="Calibri"/>
          <w:i/>
          <w:color w:val="525866"/>
          <w:sz w:val="22"/>
        </w:rPr>
        <w:t>Implication:</w:t>
      </w:r>
      <w:r>
        <w:rPr>
          <w:rFonts w:ascii="Calibri" w:hAnsi="Calibri"/>
          <w:color w:val="525866"/>
          <w:sz w:val="22"/>
        </w:rPr>
        <w:t xml:space="preserve"> Structured finance overhang is now “effectively behind us” per management; eliminates a multi-year source of earnings volatility.</w:t>
      </w:r>
    </w:p>
    <w:p>
      <w:pPr>
        <w:pStyle w:val="ListBullet"/>
        <w:ind w:left="360" w:hanging="360"/>
      </w:pPr>
      <w:r>
        <w:rPr>
          <w:rFonts w:ascii="Calibri" w:hAnsi="Calibri"/>
          <w:b/>
          <w:color w:val="525866"/>
          <w:sz w:val="22"/>
        </w:rPr>
        <w:t>April 28, 2026 — Q1 2026 Earnings Beat:</w:t>
      </w:r>
      <w:r>
        <w:rPr>
          <w:rFonts w:ascii="Calibri" w:hAnsi="Calibri"/>
          <w:color w:val="525866"/>
          <w:sz w:val="22"/>
        </w:rPr>
        <w:t xml:space="preserve"> Core FFO of $4.06 exceeded guidance midpoint by $0.11 (2.8% beat). Same-store revenues +2.9% YoY (50 bps ahead of plan); same-store expenses flat YoY (timing-related, expected to reverse H2). April blended lease rates accelerated to 3.1% with Northern California at &gt;5%. </w:t>
      </w:r>
      <w:r>
        <w:rPr>
          <w:rFonts w:ascii="Calibri" w:hAnsi="Calibri"/>
          <w:i/>
          <w:color w:val="525866"/>
          <w:sz w:val="22"/>
        </w:rPr>
        <w:t>Implication:</w:t>
      </w:r>
      <w:r>
        <w:rPr>
          <w:rFonts w:ascii="Calibri" w:hAnsi="Calibri"/>
          <w:color w:val="525866"/>
          <w:sz w:val="22"/>
        </w:rPr>
        <w:t xml:space="preserve"> Strong momentum entering Q2 peak leasing season.</w:t>
      </w:r>
    </w:p>
    <w:p>
      <w:pPr>
        <w:pStyle w:val="ListBullet"/>
        <w:ind w:left="360" w:hanging="360"/>
      </w:pPr>
      <w:r>
        <w:rPr>
          <w:rFonts w:ascii="Calibri" w:hAnsi="Calibri"/>
          <w:b/>
          <w:color w:val="525866"/>
          <w:sz w:val="22"/>
        </w:rPr>
        <w:t>April 28, 2026 — Dividend Increase:</w:t>
      </w:r>
      <w:r>
        <w:rPr>
          <w:rFonts w:ascii="Calibri" w:hAnsi="Calibri"/>
          <w:color w:val="525866"/>
          <w:sz w:val="22"/>
        </w:rPr>
        <w:t xml:space="preserve"> ESS raised its annual dividend 0.8% to $10.36/share, marking the 32nd consecutive annual increase. </w:t>
      </w:r>
      <w:r>
        <w:rPr>
          <w:rFonts w:ascii="Calibri" w:hAnsi="Calibri"/>
          <w:i/>
          <w:color w:val="525866"/>
          <w:sz w:val="22"/>
        </w:rPr>
        <w:t>Implication:</w:t>
      </w:r>
      <w:r>
        <w:rPr>
          <w:rFonts w:ascii="Calibri" w:hAnsi="Calibri"/>
          <w:color w:val="525866"/>
          <w:sz w:val="22"/>
        </w:rPr>
        <w:t xml:space="preserve"> Signals management confidence in earnings sustainability.</w:t>
      </w:r>
    </w:p>
    <w:p>
      <w:pPr>
        <w:pStyle w:val="ListBullet"/>
        <w:ind w:left="360" w:hanging="360"/>
      </w:pPr>
      <w:r>
        <w:rPr>
          <w:rFonts w:ascii="Calibri" w:hAnsi="Calibri"/>
          <w:b/>
          <w:color w:val="525866"/>
          <w:sz w:val="22"/>
        </w:rPr>
        <w:t>Ongoing — AI-Driven Demand in Northern California:</w:t>
      </w:r>
      <w:r>
        <w:rPr>
          <w:rFonts w:ascii="Calibri" w:hAnsi="Calibri"/>
          <w:color w:val="525866"/>
          <w:sz w:val="22"/>
        </w:rPr>
        <w:t xml:space="preserve"> Management highlighted 250+ AI-related start-ups on the Peninsula, AI job postings up YTD vs. 2025, and net domestic in-migration to the Bay Area turning positive for the first time in decades. Office leasing in San Francisco is on pace for a 30-year high (per UDR Q2 commentary). </w:t>
      </w:r>
      <w:r>
        <w:rPr>
          <w:rFonts w:ascii="Calibri" w:hAnsi="Calibri"/>
          <w:i/>
          <w:color w:val="525866"/>
          <w:sz w:val="22"/>
        </w:rPr>
        <w:t>Implication:</w:t>
      </w:r>
      <w:r>
        <w:rPr>
          <w:rFonts w:ascii="Calibri" w:hAnsi="Calibri"/>
          <w:color w:val="525866"/>
          <w:sz w:val="22"/>
        </w:rPr>
        <w:t xml:space="preserve"> Structural demand tailwind for ESS’s largest market concentration.</w:t>
      </w:r>
    </w:p>
    <w:p>
      <w:pPr>
        <w:pStyle w:val="ListBullet"/>
        <w:ind w:left="360" w:hanging="360"/>
      </w:pPr>
      <w:r>
        <w:rPr>
          <w:rFonts w:ascii="Calibri" w:hAnsi="Calibri"/>
          <w:b/>
          <w:color w:val="525866"/>
          <w:sz w:val="22"/>
        </w:rPr>
        <w:t>Ongoing — Washington State Rent Stabilization Law:</w:t>
      </w:r>
      <w:r>
        <w:rPr>
          <w:rFonts w:ascii="Calibri" w:hAnsi="Calibri"/>
          <w:color w:val="525866"/>
          <w:sz w:val="22"/>
        </w:rPr>
        <w:t xml:space="preserve"> A statewide rent stabilization law was enacted in Washington. Management characterized it as comparable to California’s framework and “anti-price gouging rather than restrictive.” </w:t>
      </w:r>
      <w:r>
        <w:rPr>
          <w:rFonts w:ascii="Calibri" w:hAnsi="Calibri"/>
          <w:i/>
          <w:color w:val="525866"/>
          <w:sz w:val="22"/>
        </w:rPr>
        <w:t>Implication:</w:t>
      </w:r>
      <w:r>
        <w:rPr>
          <w:rFonts w:ascii="Calibri" w:hAnsi="Calibri"/>
          <w:color w:val="525866"/>
          <w:sz w:val="22"/>
        </w:rPr>
        <w:t xml:space="preserve"> Modest regulatory headwind for Seattle portfolio; management does not view it as materially restrictive.</w:t>
      </w:r>
    </w:p>
    <w:p>
      <w:pPr>
        <w:pStyle w:val="ListBullet"/>
        <w:ind w:left="360" w:hanging="360"/>
      </w:pPr>
      <w:r>
        <w:rPr>
          <w:rFonts w:ascii="Calibri" w:hAnsi="Calibri"/>
          <w:b/>
          <w:color w:val="525866"/>
          <w:sz w:val="22"/>
        </w:rPr>
        <w:t>Ongoing — Share Buyback Program:</w:t>
      </w:r>
      <w:r>
        <w:rPr>
          <w:rFonts w:ascii="Calibri" w:hAnsi="Calibri"/>
          <w:color w:val="525866"/>
          <w:sz w:val="22"/>
        </w:rPr>
        <w:t xml:space="preserve"> ESS repurchased ~$62M of stock at avg $243.76 (6.5% FFO yield) through Q1 and early Q2. As of April 27, $240.8M of repurchase authority remains. </w:t>
      </w:r>
      <w:r>
        <w:rPr>
          <w:rFonts w:ascii="Calibri" w:hAnsi="Calibri"/>
          <w:i/>
          <w:color w:val="525866"/>
          <w:sz w:val="22"/>
        </w:rPr>
        <w:t>Implication:</w:t>
      </w:r>
      <w:r>
        <w:rPr>
          <w:rFonts w:ascii="Calibri" w:hAnsi="Calibri"/>
          <w:color w:val="525866"/>
          <w:sz w:val="22"/>
        </w:rPr>
        <w:t xml:space="preserve"> Capital allocation flexibility; buybacks at a significant discount to private market NAV (implied cap rate ~5% vs. mid-4% private transactions).</w:t>
      </w:r>
    </w:p>
    <w:p>
      <w:r>
        <w:br w:type="page"/>
      </w:r>
    </w:p>
    <w:p>
      <w:pPr>
        <w:pStyle w:val="Heading2"/>
      </w:pPr>
      <w:r>
        <w:rPr>
          <w:rFonts w:ascii="Calibri" w:hAnsi="Calibri"/>
          <w:b/>
          <w:color w:val="3B4259"/>
          <w:sz w:val="28"/>
        </w:rPr>
        <w:t>7. Peer Commentaries &amp; Q2 Read-Throughs</w:t>
      </w:r>
    </w:p>
    <w:p>
      <w:r>
        <w:rPr>
          <w:rFonts w:ascii="Calibri" w:hAnsi="Calibri"/>
          <w:b/>
          <w:color w:val="525866"/>
          <w:sz w:val="22"/>
        </w:rPr>
        <w:t xml:space="preserve">Key Takeaway: </w:t>
      </w:r>
      <w:r>
        <w:rPr>
          <w:rFonts w:ascii="Calibri" w:hAnsi="Calibri"/>
          <w:color w:val="525866"/>
          <w:sz w:val="22"/>
        </w:rPr>
        <w:t xml:space="preserve">Peer Q2 2026 results from EQR, AVB, and UDR — all reported before ESS — paint a </w:t>
      </w:r>
      <w:r>
        <w:rPr>
          <w:rFonts w:ascii="Calibri" w:hAnsi="Calibri"/>
          <w:b/>
          <w:color w:val="525866"/>
          <w:sz w:val="22"/>
        </w:rPr>
        <w:t>strongly positive</w:t>
      </w:r>
      <w:r>
        <w:rPr>
          <w:rFonts w:ascii="Calibri" w:hAnsi="Calibri"/>
          <w:color w:val="525866"/>
          <w:sz w:val="22"/>
        </w:rPr>
        <w:t xml:space="preserve"> picture for ESS’s West Coast markets, particularly San Francisco (UDR: 13% blended lease rates, 97%+ occupancy; EQR: SF revenues +7% YoY) and Northern California broadly. Seattle is mixed-to-slightly-negative (AVB NOI down YoY; EQR NOI down slightly). Southern California is modestly positive. MAA’s Sunbelt commentary (June 3 Nareit) is a positive macro read-through on supply/demand but contains a direct negative signal for Seattle (Starbucks relocating 2,000 jobs to Nashville).</w:t>
      </w:r>
    </w:p>
    <w:p>
      <w:r>
        <w:rPr>
          <w:rFonts w:ascii="Calibri" w:hAnsi="Calibri"/>
          <w:b/>
          <w:i/>
          <w:color w:val="525866"/>
          <w:sz w:val="22"/>
        </w:rPr>
        <w:t>Note on scope:</w:t>
      </w:r>
      <w:r>
        <w:rPr>
          <w:rFonts w:ascii="Calibri" w:hAnsi="Calibri"/>
          <w:i/>
          <w:color w:val="525866"/>
          <w:sz w:val="22"/>
        </w:rPr>
        <w:t xml:space="preserve"> Only commentary made during Q2 2026 (post-April 28 Q1 earnings) that speaks to current-quarter conditions or forward outlook is included below. Prior-quarter result recaps are excluded.</w:t>
      </w:r>
    </w:p>
    <w:p>
      <w:pPr>
        <w:pStyle w:val="Heading3"/>
      </w:pPr>
      <w:r>
        <w:rPr>
          <w:rFonts w:ascii="Calibri" w:hAnsi="Calibri"/>
          <w:b/>
          <w:color w:val="3B4259"/>
          <w:sz w:val="24"/>
        </w:rPr>
        <w:t>7a. Equity Residential (EQR) — Q2 2026 Earnings Release (July 22, 2026)</w:t>
      </w:r>
    </w:p>
    <w:p>
      <w:r>
        <w:rPr>
          <w:rFonts w:ascii="Calibri" w:hAnsi="Calibri"/>
          <w:b/>
          <w:color w:val="30A46C"/>
          <w:sz w:val="22"/>
        </w:rPr>
        <w:t xml:space="preserve">Overall Read-Through: </w:t>
      </w:r>
      <w:r>
        <w:rPr>
          <w:rFonts w:ascii="Calibri" w:hAnsi="Calibri"/>
          <w:color w:val="525866"/>
          <w:sz w:val="22"/>
        </w:rPr>
        <w:t xml:space="preserve"> Strongly Positive for ESS</w:t>
      </w:r>
    </w:p>
    <w:p>
      <w:pPr>
        <w:pStyle w:val="ListBullet"/>
        <w:ind w:left="360" w:hanging="360"/>
      </w:pPr>
      <w:r>
        <w:rPr>
          <w:rFonts w:ascii="Calibri" w:hAnsi="Calibri"/>
          <w:color w:val="525866"/>
          <w:sz w:val="22"/>
        </w:rPr>
        <w:t xml:space="preserve">EQR raised full-year 2026 same-store revenue guidance midpoint by +20 bps (new range 2.1%–2.7%) and same-store NOI guidance midpoint by +30 bps (new range 1.5%–2.1%). </w:t>
      </w:r>
      <w:r>
        <w:rPr>
          <w:rFonts w:ascii="Calibri" w:hAnsi="Calibri"/>
          <w:b/>
          <w:color w:val="525866"/>
          <w:sz w:val="22"/>
        </w:rPr>
        <w:t>Read-through:</w:t>
      </w:r>
      <w:r>
        <w:rPr>
          <w:rFonts w:ascii="Calibri" w:hAnsi="Calibri"/>
          <w:color w:val="525866"/>
          <w:sz w:val="22"/>
        </w:rPr>
        <w:t xml:space="preserve"> Direct positive signal that West Coast multifamily fundamentals are improving enough to support a guidance raise — ESS, with heavier West Coast concentration, may have even more upside.</w:t>
      </w:r>
    </w:p>
    <w:p>
      <w:pPr>
        <w:pStyle w:val="ListBullet"/>
        <w:ind w:left="360" w:hanging="360"/>
      </w:pPr>
      <w:r>
        <w:rPr>
          <w:rFonts w:ascii="Calibri" w:hAnsi="Calibri"/>
          <w:color w:val="525866"/>
          <w:sz w:val="22"/>
        </w:rPr>
        <w:t xml:space="preserve">EQR CEO Mark Parrell: “A solid demand environment characterized by occupancy and resident retention that remain at historically high levels… An increasingly supportive job market combined with declining levels of new supply in most of our markets.” </w:t>
      </w:r>
      <w:r>
        <w:rPr>
          <w:rFonts w:ascii="Calibri" w:hAnsi="Calibri"/>
          <w:b/>
          <w:color w:val="525866"/>
          <w:sz w:val="22"/>
        </w:rPr>
        <w:t>Read-through:</w:t>
      </w:r>
      <w:r>
        <w:rPr>
          <w:rFonts w:ascii="Calibri" w:hAnsi="Calibri"/>
          <w:color w:val="525866"/>
          <w:sz w:val="22"/>
        </w:rPr>
        <w:t xml:space="preserve"> Macro tailwinds (supply abatement + job market) directly benefit ESS’s shared markets.</w:t>
      </w:r>
    </w:p>
    <w:p>
      <w:pPr>
        <w:pStyle w:val="ListBullet"/>
        <w:ind w:left="360" w:hanging="360"/>
      </w:pPr>
      <w:r>
        <w:rPr>
          <w:rFonts w:ascii="Calibri" w:hAnsi="Calibri"/>
          <w:color w:val="525866"/>
          <w:sz w:val="22"/>
        </w:rPr>
        <w:t xml:space="preserve">San Francisco (EQR): Revenues +7.0% YoY, NOI +11.0% YoY, avg rental rate +6.5% YoY in Q2 2026. Sequential: revenues +2.1%, NOI +6.3%. EQR cited “strong momentum in the San Francisco market” as the primary driver of its guidance raise. </w:t>
      </w:r>
      <w:r>
        <w:rPr>
          <w:rFonts w:ascii="Calibri" w:hAnsi="Calibri"/>
          <w:b/>
          <w:color w:val="30A46C"/>
          <w:sz w:val="22"/>
        </w:rPr>
        <w:t>Read-through:</w:t>
      </w:r>
      <w:r>
        <w:rPr>
          <w:rFonts w:ascii="Calibri" w:hAnsi="Calibri"/>
          <w:color w:val="525866"/>
          <w:sz w:val="22"/>
        </w:rPr>
        <w:t xml:space="preserve"> Very strong positive for ESS’s Northern California portfolio (San Francisco + Peninsula = ~40% of same-store revenue).</w:t>
      </w:r>
    </w:p>
    <w:p>
      <w:pPr>
        <w:pStyle w:val="ListBullet"/>
        <w:ind w:left="360" w:hanging="360"/>
      </w:pPr>
      <w:r>
        <w:rPr>
          <w:rFonts w:ascii="Calibri" w:hAnsi="Calibri"/>
          <w:color w:val="525866"/>
          <w:sz w:val="22"/>
        </w:rPr>
        <w:t xml:space="preserve">Southern California (EQR): Revenues +1.2% YoY, but NOI −0.3% YoY and occupancy −0.4% YoY in Q2. Sequential improvement: revenues +0.7%, NOI +1.5%. </w:t>
      </w:r>
      <w:r>
        <w:rPr>
          <w:rFonts w:ascii="Calibri" w:hAnsi="Calibri"/>
          <w:b/>
          <w:color w:val="E5484D"/>
          <w:sz w:val="22"/>
        </w:rPr>
        <w:t>Read-through:</w:t>
      </w:r>
      <w:r>
        <w:rPr>
          <w:rFonts w:ascii="Calibri" w:hAnsi="Calibri"/>
          <w:color w:val="525866"/>
          <w:sz w:val="22"/>
        </w:rPr>
        <w:t xml:space="preserve"> Mixed — revenue growth but NOI pressure; consistent with ESS’s characterization of LA as “progressing at a glacial pace.”</w:t>
      </w:r>
    </w:p>
    <w:p>
      <w:pPr>
        <w:pStyle w:val="ListBullet"/>
        <w:ind w:left="360" w:hanging="360"/>
      </w:pPr>
      <w:r>
        <w:rPr>
          <w:rFonts w:ascii="Calibri" w:hAnsi="Calibri"/>
          <w:color w:val="525866"/>
          <w:sz w:val="22"/>
        </w:rPr>
        <w:t xml:space="preserve">Seattle (EQR): Revenues +1.1% YoY, but NOI −0.1% YoY and occupancy −0.8% YoY in Q2. Sequential: revenues +0.1%, NOI −0.3%. </w:t>
      </w:r>
      <w:r>
        <w:rPr>
          <w:rFonts w:ascii="Calibri" w:hAnsi="Calibri"/>
          <w:b/>
          <w:color w:val="E5484D"/>
          <w:sz w:val="22"/>
        </w:rPr>
        <w:t>Read-through:</w:t>
      </w:r>
      <w:r>
        <w:rPr>
          <w:rFonts w:ascii="Calibri" w:hAnsi="Calibri"/>
          <w:color w:val="525866"/>
          <w:sz w:val="22"/>
        </w:rPr>
        <w:t xml:space="preserve"> Slightly negative for ESS’s Seattle portfolio; NOI pressure despite modest revenue growth.</w:t>
      </w:r>
    </w:p>
    <w:p>
      <w:pPr>
        <w:pStyle w:val="ListBullet"/>
        <w:ind w:left="360" w:hanging="360"/>
      </w:pPr>
      <w:r>
        <w:rPr>
          <w:rFonts w:ascii="Calibri" w:hAnsi="Calibri"/>
          <w:color w:val="525866"/>
          <w:sz w:val="22"/>
        </w:rPr>
        <w:t xml:space="preserve">July 2026 preliminary data (as of July 15): Blended rate 3.0% (up from 2.8% in Q2), new lease rate −0.1% (dramatically improved from −0.7% in Q2), renewal rate 4.9%. Physical occupancy 96.2%. </w:t>
      </w:r>
      <w:r>
        <w:rPr>
          <w:rFonts w:ascii="Calibri" w:hAnsi="Calibri"/>
          <w:b/>
          <w:color w:val="30A46C"/>
          <w:sz w:val="22"/>
        </w:rPr>
        <w:t>Read-through:</w:t>
      </w:r>
      <w:r>
        <w:rPr>
          <w:rFonts w:ascii="Calibri" w:hAnsi="Calibri"/>
          <w:color w:val="525866"/>
          <w:sz w:val="22"/>
        </w:rPr>
        <w:t xml:space="preserve"> Positive — blended rates accelerating into July, new lease rates nearly turning positive.</w:t>
      </w:r>
    </w:p>
    <w:p>
      <w:pPr>
        <w:pStyle w:val="ListBullet"/>
        <w:ind w:left="360" w:hanging="360"/>
      </w:pPr>
      <w:r>
        <w:rPr>
          <w:rFonts w:ascii="Calibri" w:hAnsi="Calibri"/>
          <w:color w:val="525866"/>
          <w:sz w:val="22"/>
        </w:rPr>
        <w:t xml:space="preserve">Bad debt improvement: EQR cited “improvements in Bad Debt, Net across the portfolio” as a key driver of its revenue guidance raise. </w:t>
      </w:r>
      <w:r>
        <w:rPr>
          <w:rFonts w:ascii="Calibri" w:hAnsi="Calibri"/>
          <w:b/>
          <w:color w:val="30A46C"/>
          <w:sz w:val="22"/>
        </w:rPr>
        <w:t>Read-through:</w:t>
      </w:r>
      <w:r>
        <w:rPr>
          <w:rFonts w:ascii="Calibri" w:hAnsi="Calibri"/>
          <w:color w:val="525866"/>
          <w:sz w:val="22"/>
        </w:rPr>
        <w:t xml:space="preserve"> Positive for ESS, particularly for LA where delinquency recovery has been a key theme.</w:t>
      </w:r>
    </w:p>
    <w:p>
      <w:pPr>
        <w:pStyle w:val="ListBullet"/>
        <w:ind w:left="360" w:hanging="360"/>
      </w:pPr>
      <w:r>
        <w:rPr>
          <w:rFonts w:ascii="Calibri" w:hAnsi="Calibri"/>
          <w:color w:val="525866"/>
          <w:sz w:val="22"/>
        </w:rPr>
        <w:t xml:space="preserve">EQR sold two properties in Q2 (one LA, one SF) for ~$164M at a 5.3% weighted average disposition yield. </w:t>
      </w:r>
      <w:r>
        <w:rPr>
          <w:rFonts w:ascii="Calibri" w:hAnsi="Calibri"/>
          <w:b/>
          <w:color w:val="525866"/>
          <w:sz w:val="22"/>
        </w:rPr>
        <w:t>Read-through:</w:t>
      </w:r>
      <w:r>
        <w:rPr>
          <w:rFonts w:ascii="Calibri" w:hAnsi="Calibri"/>
          <w:color w:val="525866"/>
          <w:sz w:val="22"/>
        </w:rPr>
        <w:t xml:space="preserve"> Neutral-to-positive; confirms private market demand for West Coast assets at sub-5.5% cap rates.</w:t>
      </w:r>
    </w:p>
    <w:p>
      <w:pPr>
        <w:pStyle w:val="Heading3"/>
      </w:pPr>
      <w:r>
        <w:rPr>
          <w:rFonts w:ascii="Calibri" w:hAnsi="Calibri"/>
          <w:b/>
          <w:color w:val="3B4259"/>
          <w:sz w:val="24"/>
        </w:rPr>
        <w:t>7b. AvalonBay Communities (AVB) — Q2 2026 Earnings Release (July 23, 2026)</w:t>
      </w:r>
    </w:p>
    <w:p>
      <w:r>
        <w:rPr>
          <w:rFonts w:ascii="Calibri" w:hAnsi="Calibri"/>
          <w:b/>
          <w:color w:val="30A46C"/>
          <w:sz w:val="22"/>
        </w:rPr>
        <w:t xml:space="preserve">Overall Read-Through: </w:t>
      </w:r>
      <w:r>
        <w:rPr>
          <w:rFonts w:ascii="Calibri" w:hAnsi="Calibri"/>
          <w:color w:val="525866"/>
          <w:sz w:val="22"/>
        </w:rPr>
        <w:t xml:space="preserve"> Positive for ESS (with some mixed regional signals)</w:t>
      </w:r>
    </w:p>
    <w:p>
      <w:pPr>
        <w:pStyle w:val="ListBullet"/>
        <w:ind w:left="360" w:hanging="360"/>
      </w:pPr>
      <w:r>
        <w:rPr>
          <w:rFonts w:ascii="Calibri" w:hAnsi="Calibri"/>
          <w:color w:val="525866"/>
          <w:sz w:val="22"/>
        </w:rPr>
        <w:t xml:space="preserve">AVB CEO Ben Schall: “Our second quarter was strong, exceeding expectations… A healthier demand environment, easing new supply, and disciplined execution by our teams delivered strong rent growth and lower operating expenses in the first half of the year, enabling us to increase Same Store NOI guidance for the full year.” </w:t>
      </w:r>
      <w:r>
        <w:rPr>
          <w:rFonts w:ascii="Calibri" w:hAnsi="Calibri"/>
          <w:b/>
          <w:color w:val="30A46C"/>
          <w:sz w:val="22"/>
        </w:rPr>
        <w:t>Read-through:</w:t>
      </w:r>
      <w:r>
        <w:rPr>
          <w:rFonts w:ascii="Calibri" w:hAnsi="Calibri"/>
          <w:color w:val="525866"/>
          <w:sz w:val="22"/>
        </w:rPr>
        <w:t xml:space="preserve"> Positive macro signal for ESS — “healthier demand environment” and “easing new supply” are sector-wide tailwinds.</w:t>
      </w:r>
    </w:p>
    <w:p>
      <w:pPr>
        <w:pStyle w:val="ListBullet"/>
        <w:ind w:left="360" w:hanging="360"/>
      </w:pPr>
      <w:r>
        <w:rPr>
          <w:rFonts w:ascii="Calibri" w:hAnsi="Calibri"/>
          <w:color w:val="525866"/>
          <w:sz w:val="22"/>
        </w:rPr>
        <w:t xml:space="preserve">AVB raised full-year same-store NOI guidance (new range 0%–1.4% vs. original −0.7%–1.3%) and tightened revenue guidance (1.1%–2.1% vs. 0.4%–2.4%). </w:t>
      </w:r>
      <w:r>
        <w:rPr>
          <w:rFonts w:ascii="Calibri" w:hAnsi="Calibri"/>
          <w:b/>
          <w:color w:val="30A46C"/>
          <w:sz w:val="22"/>
        </w:rPr>
        <w:t>Read-through:</w:t>
      </w:r>
      <w:r>
        <w:rPr>
          <w:rFonts w:ascii="Calibri" w:hAnsi="Calibri"/>
          <w:color w:val="525866"/>
          <w:sz w:val="22"/>
        </w:rPr>
        <w:t xml:space="preserve"> Positive — another peer raising guidance supports the case for ESS to do the same.</w:t>
      </w:r>
    </w:p>
    <w:p>
      <w:pPr>
        <w:pStyle w:val="ListBullet"/>
        <w:ind w:left="360" w:hanging="360"/>
      </w:pPr>
      <w:r>
        <w:rPr>
          <w:rFonts w:ascii="Calibri" w:hAnsi="Calibri"/>
          <w:color w:val="525866"/>
          <w:sz w:val="22"/>
        </w:rPr>
        <w:t xml:space="preserve">Northern California (AVB): Residential NOI increased from $77.1M in Q2 2025 to $84.1M in Q2 2026 (+9.1% YoY). </w:t>
      </w:r>
      <w:r>
        <w:rPr>
          <w:rFonts w:ascii="Calibri" w:hAnsi="Calibri"/>
          <w:b/>
          <w:color w:val="30A46C"/>
          <w:sz w:val="22"/>
        </w:rPr>
        <w:t>Read-through:</w:t>
      </w:r>
      <w:r>
        <w:rPr>
          <w:rFonts w:ascii="Calibri" w:hAnsi="Calibri"/>
          <w:color w:val="525866"/>
          <w:sz w:val="22"/>
        </w:rPr>
        <w:t xml:space="preserve"> Strong positive for ESS’s Northern California portfolio.</w:t>
      </w:r>
    </w:p>
    <w:p>
      <w:pPr>
        <w:pStyle w:val="ListBullet"/>
        <w:ind w:left="360" w:hanging="360"/>
      </w:pPr>
      <w:r>
        <w:rPr>
          <w:rFonts w:ascii="Calibri" w:hAnsi="Calibri"/>
          <w:color w:val="525866"/>
          <w:sz w:val="22"/>
        </w:rPr>
        <w:t xml:space="preserve">Southern California (AVB): Residential NOI increased modestly from $106.7M to $108.2M (+1.4% YoY). </w:t>
      </w:r>
      <w:r>
        <w:rPr>
          <w:rFonts w:ascii="Calibri" w:hAnsi="Calibri"/>
          <w:b/>
          <w:color w:val="525866"/>
          <w:sz w:val="22"/>
        </w:rPr>
        <w:t>Read-through:</w:t>
      </w:r>
      <w:r>
        <w:rPr>
          <w:rFonts w:ascii="Calibri" w:hAnsi="Calibri"/>
          <w:color w:val="525866"/>
          <w:sz w:val="22"/>
        </w:rPr>
        <w:t xml:space="preserve"> Modest positive; consistent with gradual improvement narrative.</w:t>
      </w:r>
    </w:p>
    <w:p>
      <w:pPr>
        <w:pStyle w:val="ListBullet"/>
        <w:ind w:left="360" w:hanging="360"/>
      </w:pPr>
      <w:r>
        <w:rPr>
          <w:rFonts w:ascii="Calibri" w:hAnsi="Calibri"/>
          <w:color w:val="525866"/>
          <w:sz w:val="22"/>
        </w:rPr>
        <w:t xml:space="preserve">Seattle (AVB): Residential NOI decreased from $34.6M to $33.8M (−2.5% YoY). </w:t>
      </w:r>
      <w:r>
        <w:rPr>
          <w:rFonts w:ascii="Calibri" w:hAnsi="Calibri"/>
          <w:b/>
          <w:color w:val="E5484D"/>
          <w:sz w:val="22"/>
        </w:rPr>
        <w:t>Read-through:</w:t>
      </w:r>
      <w:r>
        <w:rPr>
          <w:rFonts w:ascii="Calibri" w:hAnsi="Calibri"/>
          <w:color w:val="525866"/>
          <w:sz w:val="22"/>
        </w:rPr>
        <w:t xml:space="preserve"> Negative for ESS’s Seattle portfolio; suggests continued pressure despite improving lease rates.</w:t>
      </w:r>
    </w:p>
    <w:p>
      <w:pPr>
        <w:pStyle w:val="ListBullet"/>
        <w:ind w:left="360" w:hanging="360"/>
      </w:pPr>
      <w:r>
        <w:rPr>
          <w:rFonts w:ascii="Calibri" w:hAnsi="Calibri"/>
          <w:color w:val="525866"/>
          <w:sz w:val="22"/>
        </w:rPr>
        <w:t xml:space="preserve">AVB noted ~$0.03 of Q2 operating expense benefit is timing-related and will be incurred in H2. </w:t>
      </w:r>
      <w:r>
        <w:rPr>
          <w:rFonts w:ascii="Calibri" w:hAnsi="Calibri"/>
          <w:b/>
          <w:color w:val="E5484D"/>
          <w:sz w:val="22"/>
        </w:rPr>
        <w:t>Read-through:</w:t>
      </w:r>
      <w:r>
        <w:rPr>
          <w:rFonts w:ascii="Calibri" w:hAnsi="Calibri"/>
          <w:color w:val="525866"/>
          <w:sz w:val="22"/>
        </w:rPr>
        <w:t xml:space="preserve"> Negative — mirrors ESS’s own Q1 expense timing issue; H2 expense reversal is a shared headwind.</w:t>
      </w:r>
    </w:p>
    <w:p>
      <w:pPr>
        <w:pStyle w:val="ListBullet"/>
        <w:ind w:left="360" w:hanging="360"/>
      </w:pPr>
      <w:r>
        <w:rPr>
          <w:rFonts w:ascii="Calibri" w:hAnsi="Calibri"/>
          <w:color w:val="525866"/>
          <w:sz w:val="22"/>
        </w:rPr>
        <w:t xml:space="preserve">Note: AVB suspended its EPS/FFO/Core FFO outlook and cancelled its Q2 earnings call due to the pending merger with EQR. </w:t>
      </w:r>
      <w:r>
        <w:rPr>
          <w:rFonts w:ascii="Calibri" w:hAnsi="Calibri"/>
          <w:b/>
          <w:color w:val="525866"/>
          <w:sz w:val="22"/>
        </w:rPr>
        <w:t>Read-through:</w:t>
      </w:r>
      <w:r>
        <w:rPr>
          <w:rFonts w:ascii="Calibri" w:hAnsi="Calibri"/>
          <w:color w:val="525866"/>
          <w:sz w:val="22"/>
        </w:rPr>
        <w:t xml:space="preserve"> Neutral for ESS operations; confirms merger is on track.</w:t>
      </w:r>
    </w:p>
    <w:p>
      <w:pPr>
        <w:pStyle w:val="Heading3"/>
      </w:pPr>
      <w:r>
        <w:rPr>
          <w:rFonts w:ascii="Calibri" w:hAnsi="Calibri"/>
          <w:b/>
          <w:color w:val="3B4259"/>
          <w:sz w:val="24"/>
        </w:rPr>
        <w:t>7c. UDR, Inc. — Q2 2026 Earnings Call (July 28, 2026)</w:t>
      </w:r>
    </w:p>
    <w:p>
      <w:r>
        <w:rPr>
          <w:rFonts w:ascii="Calibri" w:hAnsi="Calibri"/>
          <w:b/>
          <w:color w:val="30A46C"/>
          <w:sz w:val="22"/>
        </w:rPr>
        <w:t xml:space="preserve">Overall Read-Through: </w:t>
      </w:r>
      <w:r>
        <w:rPr>
          <w:rFonts w:ascii="Calibri" w:hAnsi="Calibri"/>
          <w:color w:val="525866"/>
          <w:sz w:val="22"/>
        </w:rPr>
        <w:t xml:space="preserve"> Strongly Positive for ESS, especially for Northern California</w:t>
      </w:r>
    </w:p>
    <w:p>
      <w:pPr>
        <w:pStyle w:val="ListBullet"/>
        <w:ind w:left="360" w:hanging="360"/>
      </w:pPr>
      <w:r>
        <w:rPr>
          <w:rFonts w:ascii="Calibri" w:hAnsi="Calibri"/>
          <w:color w:val="525866"/>
          <w:sz w:val="22"/>
        </w:rPr>
        <w:t xml:space="preserve">UDR raised full-year 2026 FFO guidance by $0.01/share at the midpoint to $2.53, raised same-store revenue growth midpoint by 12.5 bps (new range 0.75%–2.0%), improved same-store expense midpoint by 50 bps to 3.25%, and increased same-store NOI growth guidance by 50 bps. </w:t>
      </w:r>
      <w:r>
        <w:rPr>
          <w:rFonts w:ascii="Calibri" w:hAnsi="Calibri"/>
          <w:b/>
          <w:color w:val="30A46C"/>
          <w:sz w:val="22"/>
        </w:rPr>
        <w:t>Read-through:</w:t>
      </w:r>
      <w:r>
        <w:rPr>
          <w:rFonts w:ascii="Calibri" w:hAnsi="Calibri"/>
          <w:color w:val="525866"/>
          <w:sz w:val="22"/>
        </w:rPr>
        <w:t xml:space="preserve"> Third consecutive peer guidance raise — strongly supports ESS raising guidance at Q2.</w:t>
      </w:r>
    </w:p>
    <w:p>
      <w:pPr>
        <w:pStyle w:val="ListBullet"/>
        <w:ind w:left="360" w:hanging="360"/>
      </w:pPr>
      <w:r>
        <w:rPr>
          <w:rFonts w:ascii="Calibri" w:hAnsi="Calibri"/>
          <w:color w:val="525866"/>
          <w:sz w:val="22"/>
        </w:rPr>
        <w:t xml:space="preserve">UDR COO: “Coastal markets led second quarter results with blended lease rate growth of 3.8% on average as compared to −2% blends in the Sun Belt.” July trends are “very similar.” </w:t>
      </w:r>
      <w:r>
        <w:rPr>
          <w:rFonts w:ascii="Calibri" w:hAnsi="Calibri"/>
          <w:b/>
          <w:color w:val="30A46C"/>
          <w:sz w:val="22"/>
        </w:rPr>
        <w:t>Read-through:</w:t>
      </w:r>
      <w:r>
        <w:rPr>
          <w:rFonts w:ascii="Calibri" w:hAnsi="Calibri"/>
          <w:color w:val="525866"/>
          <w:sz w:val="22"/>
        </w:rPr>
        <w:t xml:space="preserve"> Very strong positive for ESS’s coastal-only portfolio.</w:t>
      </w:r>
    </w:p>
    <w:p>
      <w:pPr>
        <w:pStyle w:val="ListBullet"/>
        <w:ind w:left="360" w:hanging="360"/>
      </w:pPr>
      <w:r>
        <w:rPr>
          <w:rFonts w:ascii="Calibri" w:hAnsi="Calibri"/>
          <w:color w:val="525866"/>
          <w:sz w:val="22"/>
        </w:rPr>
        <w:t xml:space="preserve">San Francisco (UDR): “San Francisco remains a standout market with the strongest revenue growth across our portfolio, driven by blended lease rate growth of approximately 13% and occupancy in the high 97% range.” Attributed to very little supply, strong return-to-office, revitalized shopping/dining, and low rent-to-income ratios. Office leasing in SF is on pace for a 30-year high with ~6.4M sq ft leased YTD. </w:t>
      </w:r>
      <w:r>
        <w:rPr>
          <w:rFonts w:ascii="Calibri" w:hAnsi="Calibri"/>
          <w:b/>
          <w:color w:val="30A46C"/>
          <w:sz w:val="22"/>
        </w:rPr>
        <w:t>Read-through:</w:t>
      </w:r>
      <w:r>
        <w:rPr>
          <w:rFonts w:ascii="Calibri" w:hAnsi="Calibri"/>
          <w:color w:val="525866"/>
          <w:sz w:val="22"/>
        </w:rPr>
        <w:t xml:space="preserve"> Exceptionally strong positive for ESS’s San Francisco and Peninsula assets.</w:t>
      </w:r>
    </w:p>
    <w:p>
      <w:pPr>
        <w:pStyle w:val="ListBullet"/>
        <w:ind w:left="360" w:hanging="360"/>
      </w:pPr>
      <w:r>
        <w:rPr>
          <w:rFonts w:ascii="Calibri" w:hAnsi="Calibri"/>
          <w:color w:val="525866"/>
          <w:sz w:val="22"/>
        </w:rPr>
        <w:t xml:space="preserve">Orange County (UDR): Blended lease rate growth of more than 3%. </w:t>
      </w:r>
      <w:r>
        <w:rPr>
          <w:rFonts w:ascii="Calibri" w:hAnsi="Calibri"/>
          <w:b/>
          <w:color w:val="30A46C"/>
          <w:sz w:val="22"/>
        </w:rPr>
        <w:t>Read-through:</w:t>
      </w:r>
      <w:r>
        <w:rPr>
          <w:rFonts w:ascii="Calibri" w:hAnsi="Calibri"/>
          <w:color w:val="525866"/>
          <w:sz w:val="22"/>
        </w:rPr>
        <w:t xml:space="preserve"> Positive for ESS’s Southern California portfolio.</w:t>
      </w:r>
    </w:p>
    <w:p>
      <w:pPr>
        <w:pStyle w:val="ListBullet"/>
        <w:ind w:left="360" w:hanging="360"/>
      </w:pPr>
      <w:r>
        <w:rPr>
          <w:rFonts w:ascii="Calibri" w:hAnsi="Calibri"/>
          <w:color w:val="525866"/>
          <w:sz w:val="22"/>
        </w:rPr>
        <w:t xml:space="preserve">Seattle (UDR): “Seattle remains fundamentally resilient… supported by private sector momentum in technology and biotech… it’s still relatively strong and has held up well through the leasing season.” </w:t>
      </w:r>
      <w:r>
        <w:rPr>
          <w:rFonts w:ascii="Calibri" w:hAnsi="Calibri"/>
          <w:b/>
          <w:color w:val="525866"/>
          <w:sz w:val="22"/>
        </w:rPr>
        <w:t>Read-through:</w:t>
      </w:r>
      <w:r>
        <w:rPr>
          <w:rFonts w:ascii="Calibri" w:hAnsi="Calibri"/>
          <w:color w:val="525866"/>
          <w:sz w:val="22"/>
        </w:rPr>
        <w:t xml:space="preserve"> Neutral-to-positive; more constructive than AVB’s Seattle data.</w:t>
      </w:r>
    </w:p>
    <w:p>
      <w:pPr>
        <w:pStyle w:val="ListBullet"/>
        <w:ind w:left="360" w:hanging="360"/>
      </w:pPr>
      <w:r>
        <w:rPr>
          <w:rFonts w:ascii="Calibri" w:hAnsi="Calibri"/>
          <w:color w:val="525866"/>
          <w:sz w:val="22"/>
        </w:rPr>
        <w:t xml:space="preserve">Los Angeles (UDR): UDR opportunistically acquired a community in Santa Monica below replacement cost, noting the submarket “had been affected by Covid and then supply on a disproportionate basis” but is “intrigued by the upswing.” </w:t>
      </w:r>
      <w:r>
        <w:rPr>
          <w:rFonts w:ascii="Calibri" w:hAnsi="Calibri"/>
          <w:b/>
          <w:color w:val="525866"/>
          <w:sz w:val="22"/>
        </w:rPr>
        <w:t>Read-through:</w:t>
      </w:r>
      <w:r>
        <w:rPr>
          <w:rFonts w:ascii="Calibri" w:hAnsi="Calibri"/>
          <w:color w:val="525866"/>
          <w:sz w:val="22"/>
        </w:rPr>
        <w:t xml:space="preserve"> Mixed — signals long-term confidence in LA recovery but acknowledges past challenges.</w:t>
      </w:r>
    </w:p>
    <w:p>
      <w:pPr>
        <w:pStyle w:val="ListBullet"/>
        <w:ind w:left="360" w:hanging="360"/>
      </w:pPr>
      <w:r>
        <w:rPr>
          <w:rFonts w:ascii="Calibri" w:hAnsi="Calibri"/>
          <w:color w:val="525866"/>
          <w:sz w:val="22"/>
        </w:rPr>
        <w:t xml:space="preserve">UDR: Resident retention reached an all-time seasonal high of 60% in Q2 (+140 bps YoY); turnover trending 150–200 bps better than expected. Outmigration from MSAs down to 19% from 23% last year; SF outmigration down 5% YoY. </w:t>
      </w:r>
      <w:r>
        <w:rPr>
          <w:rFonts w:ascii="Calibri" w:hAnsi="Calibri"/>
          <w:b/>
          <w:color w:val="30A46C"/>
          <w:sz w:val="22"/>
        </w:rPr>
        <w:t>Read-through:</w:t>
      </w:r>
      <w:r>
        <w:rPr>
          <w:rFonts w:ascii="Calibri" w:hAnsi="Calibri"/>
          <w:color w:val="525866"/>
          <w:sz w:val="22"/>
        </w:rPr>
        <w:t xml:space="preserve"> Positive — improving retention and declining outmigration support occupancy and reduce re-leasing costs.</w:t>
      </w:r>
    </w:p>
    <w:p>
      <w:pPr>
        <w:pStyle w:val="ListBullet"/>
        <w:ind w:left="360" w:hanging="360"/>
      </w:pPr>
      <w:r>
        <w:rPr>
          <w:rFonts w:ascii="Calibri" w:hAnsi="Calibri"/>
          <w:color w:val="525866"/>
          <w:sz w:val="22"/>
        </w:rPr>
        <w:t xml:space="preserve">UDR: New lease growth expected to be “flat” across all regions through September. Renewal offers at 5.0%–5.5%, negotiating ~100 bps, expecting Q3 renewals ~4%. </w:t>
      </w:r>
      <w:r>
        <w:rPr>
          <w:rFonts w:ascii="Calibri" w:hAnsi="Calibri"/>
          <w:b/>
          <w:color w:val="525866"/>
          <w:sz w:val="22"/>
        </w:rPr>
        <w:t>Read-through:</w:t>
      </w:r>
      <w:r>
        <w:rPr>
          <w:rFonts w:ascii="Calibri" w:hAnsi="Calibri"/>
          <w:color w:val="525866"/>
          <w:sz w:val="22"/>
        </w:rPr>
        <w:t xml:space="preserve"> Neutral — flat new lease growth is a modest constraint on blended rate upside, but renewal strength partially offsets.</w:t>
      </w:r>
    </w:p>
    <w:p>
      <w:pPr>
        <w:pStyle w:val="ListBullet"/>
        <w:ind w:left="360" w:hanging="360"/>
      </w:pPr>
      <w:r>
        <w:rPr>
          <w:rFonts w:ascii="Calibri" w:hAnsi="Calibri"/>
          <w:color w:val="525866"/>
          <w:sz w:val="22"/>
        </w:rPr>
        <w:t xml:space="preserve">UDR: “Early third quarter results are tracking similar to the second quarter.” Demand for high-quality apartments outpacing supply. </w:t>
      </w:r>
      <w:r>
        <w:rPr>
          <w:rFonts w:ascii="Calibri" w:hAnsi="Calibri"/>
          <w:b/>
          <w:color w:val="30A46C"/>
          <w:sz w:val="22"/>
        </w:rPr>
        <w:t>Read-through:</w:t>
      </w:r>
      <w:r>
        <w:rPr>
          <w:rFonts w:ascii="Calibri" w:hAnsi="Calibri"/>
          <w:color w:val="525866"/>
          <w:sz w:val="22"/>
        </w:rPr>
        <w:t xml:space="preserve"> Positive — momentum is not fading post-peak season.</w:t>
      </w:r>
    </w:p>
    <w:p>
      <w:pPr>
        <w:pStyle w:val="Heading3"/>
      </w:pPr>
      <w:r>
        <w:rPr>
          <w:rFonts w:ascii="Calibri" w:hAnsi="Calibri"/>
          <w:b/>
          <w:color w:val="3B4259"/>
          <w:sz w:val="24"/>
        </w:rPr>
        <w:t>7d. Mid-America Apartment Communities (MAA) — Nareit REITweek Conference (June 3, 2026)</w:t>
      </w:r>
    </w:p>
    <w:p>
      <w:r>
        <w:rPr>
          <w:rFonts w:ascii="Calibri" w:hAnsi="Calibri"/>
          <w:b/>
          <w:color w:val="525866"/>
          <w:sz w:val="22"/>
        </w:rPr>
        <w:t xml:space="preserve">Overall Read-Through: </w:t>
      </w:r>
      <w:r>
        <w:rPr>
          <w:rFonts w:ascii="Calibri" w:hAnsi="Calibri"/>
          <w:color w:val="525866"/>
          <w:sz w:val="22"/>
        </w:rPr>
        <w:t xml:space="preserve"> Mixed — Positive macro signals on supply/demand; one direct negative for Seattle</w:t>
      </w:r>
    </w:p>
    <w:p>
      <w:r>
        <w:rPr>
          <w:rFonts w:ascii="Calibri" w:hAnsi="Calibri"/>
          <w:color w:val="525866"/>
          <w:sz w:val="22"/>
        </w:rPr>
        <w:t>Note: MAA is a Sunbelt-focused REIT with limited direct market overlap with ESS. Commentary is relevant as a macro read-through on sector-wide supply/demand dynamics, not as a direct market comp.</w:t>
      </w:r>
    </w:p>
    <w:p>
      <w:pPr>
        <w:pStyle w:val="ListBullet"/>
        <w:ind w:left="360" w:hanging="360"/>
      </w:pPr>
      <w:r>
        <w:rPr>
          <w:rFonts w:ascii="Calibri" w:hAnsi="Calibri"/>
          <w:color w:val="525866"/>
          <w:sz w:val="22"/>
        </w:rPr>
        <w:t xml:space="preserve">MAA: Blended lease-over-lease rates accelerated 140 bps in May from Q1; new lease rates improved 240 bps in May from Q1. May average blended lease pricing is the “highest we’ve seen in almost 2 years.” Momentum expected to continue through June, July, and August. </w:t>
      </w:r>
      <w:r>
        <w:rPr>
          <w:rFonts w:ascii="Calibri" w:hAnsi="Calibri"/>
          <w:b/>
          <w:color w:val="30A46C"/>
          <w:sz w:val="22"/>
        </w:rPr>
        <w:t>Read-through:</w:t>
      </w:r>
      <w:r>
        <w:rPr>
          <w:rFonts w:ascii="Calibri" w:hAnsi="Calibri"/>
          <w:color w:val="525866"/>
          <w:sz w:val="22"/>
        </w:rPr>
        <w:t xml:space="preserve"> Positive macro signal — improving leasing momentum is a sector-wide trend that supports ESS’s own acceleration.</w:t>
      </w:r>
    </w:p>
    <w:p>
      <w:pPr>
        <w:pStyle w:val="ListBullet"/>
        <w:ind w:left="360" w:hanging="360"/>
      </w:pPr>
      <w:r>
        <w:rPr>
          <w:rFonts w:ascii="Calibri" w:hAnsi="Calibri"/>
          <w:color w:val="525866"/>
          <w:sz w:val="22"/>
        </w:rPr>
        <w:t xml:space="preserve">MAA: Supply in their markets is down ~40% from last year and ~60% from two years ago. New starts below long-term averages for three consecutive years. </w:t>
      </w:r>
      <w:r>
        <w:rPr>
          <w:rFonts w:ascii="Calibri" w:hAnsi="Calibri"/>
          <w:b/>
          <w:color w:val="30A46C"/>
          <w:sz w:val="22"/>
        </w:rPr>
        <w:t>Read-through:</w:t>
      </w:r>
      <w:r>
        <w:rPr>
          <w:rFonts w:ascii="Calibri" w:hAnsi="Calibri"/>
          <w:color w:val="525866"/>
          <w:sz w:val="22"/>
        </w:rPr>
        <w:t xml:space="preserve"> Positive macro signal — supply abatement is a sector-wide tailwind, though ESS’s West Coast markets already had lower supply levels.</w:t>
      </w:r>
    </w:p>
    <w:p>
      <w:pPr>
        <w:pStyle w:val="ListBullet"/>
        <w:ind w:left="360" w:hanging="360"/>
      </w:pPr>
      <w:r>
        <w:rPr>
          <w:rFonts w:ascii="Calibri" w:hAnsi="Calibri"/>
          <w:color w:val="525866"/>
          <w:sz w:val="22"/>
        </w:rPr>
        <w:t xml:space="preserve">MAA: Concession usage declining in some markets, leading to “pretty rapid improvement in lease performance and effective rent growth.” Example: South Austin new lease rates up 10% as concessions improved. </w:t>
      </w:r>
      <w:r>
        <w:rPr>
          <w:rFonts w:ascii="Calibri" w:hAnsi="Calibri"/>
          <w:b/>
          <w:color w:val="30A46C"/>
          <w:sz w:val="22"/>
        </w:rPr>
        <w:t>Read-through:</w:t>
      </w:r>
      <w:r>
        <w:rPr>
          <w:rFonts w:ascii="Calibri" w:hAnsi="Calibri"/>
          <w:color w:val="525866"/>
          <w:sz w:val="22"/>
        </w:rPr>
        <w:t xml:space="preserve"> Positive macro signal on concession burn-off; ESS’s own concession levels have been declining.</w:t>
      </w:r>
    </w:p>
    <w:p>
      <w:pPr>
        <w:pStyle w:val="ListBullet"/>
        <w:ind w:left="360" w:hanging="360"/>
      </w:pPr>
      <w:r>
        <w:rPr>
          <w:rFonts w:ascii="Calibri" w:hAnsi="Calibri"/>
          <w:color w:val="525866"/>
          <w:sz w:val="22"/>
        </w:rPr>
        <w:t xml:space="preserve">MAA: “Starbucks announcing 2,000 new jobs that they’re moving out of Washington to Nashville.” </w:t>
      </w:r>
      <w:r>
        <w:rPr>
          <w:rFonts w:ascii="Calibri" w:hAnsi="Calibri"/>
          <w:b/>
          <w:color w:val="E5484D"/>
          <w:sz w:val="22"/>
        </w:rPr>
        <w:t>Read-through:</w:t>
      </w:r>
      <w:r>
        <w:rPr>
          <w:rFonts w:ascii="Calibri" w:hAnsi="Calibri"/>
          <w:color w:val="525866"/>
          <w:sz w:val="22"/>
        </w:rPr>
        <w:t xml:space="preserve"> Direct negative for ESS’s Seattle portfolio — high-paying job outflows from a key ESS market.</w:t>
      </w:r>
    </w:p>
    <w:p>
      <w:pPr>
        <w:pStyle w:val="ListBullet"/>
        <w:ind w:left="360" w:hanging="360"/>
      </w:pPr>
      <w:r>
        <w:rPr>
          <w:rFonts w:ascii="Calibri" w:hAnsi="Calibri"/>
          <w:color w:val="525866"/>
          <w:sz w:val="22"/>
        </w:rPr>
        <w:t xml:space="preserve">MAA: Resident rent-to-income ratios at ~20%, collections &gt;99%, delinquency &lt;30 bps (pre-COVID levels). </w:t>
      </w:r>
      <w:r>
        <w:rPr>
          <w:rFonts w:ascii="Calibri" w:hAnsi="Calibri"/>
          <w:b/>
          <w:color w:val="30A46C"/>
          <w:sz w:val="22"/>
        </w:rPr>
        <w:t>Read-through:</w:t>
      </w:r>
      <w:r>
        <w:rPr>
          <w:rFonts w:ascii="Calibri" w:hAnsi="Calibri"/>
          <w:color w:val="525866"/>
          <w:sz w:val="22"/>
        </w:rPr>
        <w:t xml:space="preserve"> Positive macro signal on renter health; ESS’s coastal residents have similarly low rent-to-income ratios (~21.5% in Northern California).</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Market</w:t>
            </w:r>
          </w:p>
        </w:tc>
        <w:tc>
          <w:tcPr>
            <w:tcW w:type="dxa" w:w="1728"/>
            <w:shd w:val="clear" w:color="auto" w:fill="3B4259"/>
          </w:tcPr>
          <w:p>
            <w:r>
              <w:rPr>
                <w:rFonts w:ascii="Calibri" w:hAnsi="Calibri"/>
                <w:b/>
                <w:color w:val="FFFFFF"/>
                <w:sz w:val="22"/>
              </w:rPr>
              <w:t>EQR Signal</w:t>
            </w:r>
          </w:p>
        </w:tc>
        <w:tc>
          <w:tcPr>
            <w:tcW w:type="dxa" w:w="1728"/>
            <w:shd w:val="clear" w:color="auto" w:fill="3B4259"/>
          </w:tcPr>
          <w:p>
            <w:r>
              <w:rPr>
                <w:rFonts w:ascii="Calibri" w:hAnsi="Calibri"/>
                <w:b/>
                <w:color w:val="FFFFFF"/>
                <w:sz w:val="22"/>
              </w:rPr>
              <w:t>AVB Signal</w:t>
            </w:r>
          </w:p>
        </w:tc>
        <w:tc>
          <w:tcPr>
            <w:tcW w:type="dxa" w:w="1728"/>
            <w:shd w:val="clear" w:color="auto" w:fill="3B4259"/>
          </w:tcPr>
          <w:p>
            <w:r>
              <w:rPr>
                <w:rFonts w:ascii="Calibri" w:hAnsi="Calibri"/>
                <w:b/>
                <w:color w:val="FFFFFF"/>
                <w:sz w:val="22"/>
              </w:rPr>
              <w:t>UDR Signal</w:t>
            </w:r>
          </w:p>
        </w:tc>
        <w:tc>
          <w:tcPr>
            <w:tcW w:type="dxa" w:w="1728"/>
            <w:shd w:val="clear" w:color="auto" w:fill="3B4259"/>
          </w:tcPr>
          <w:p>
            <w:r>
              <w:rPr>
                <w:rFonts w:ascii="Calibri" w:hAnsi="Calibri"/>
                <w:b/>
                <w:color w:val="FFFFFF"/>
                <w:sz w:val="22"/>
              </w:rPr>
              <w:t>Net Read-Through for ESS</w:t>
            </w:r>
          </w:p>
        </w:tc>
      </w:tr>
      <w:tr>
        <w:tc>
          <w:tcPr>
            <w:tcW w:type="dxa" w:w="1728"/>
          </w:tcPr>
          <w:p>
            <w:r>
              <w:rPr>
                <w:rFonts w:ascii="Calibri" w:hAnsi="Calibri"/>
                <w:sz w:val="22"/>
              </w:rPr>
              <w:t>San Francisco / N. California</w:t>
            </w:r>
          </w:p>
        </w:tc>
        <w:tc>
          <w:tcPr>
            <w:tcW w:type="dxa" w:w="1728"/>
          </w:tcPr>
          <w:p>
            <w:r>
              <w:rPr>
                <w:rFonts w:ascii="Calibri" w:hAnsi="Calibri"/>
                <w:b/>
                <w:color w:val="30A46C"/>
                <w:sz w:val="22"/>
              </w:rPr>
              <w:t>Very Positive (+7% rev YoY)</w:t>
            </w:r>
          </w:p>
        </w:tc>
        <w:tc>
          <w:tcPr>
            <w:tcW w:type="dxa" w:w="1728"/>
          </w:tcPr>
          <w:p>
            <w:r>
              <w:rPr>
                <w:rFonts w:ascii="Calibri" w:hAnsi="Calibri"/>
                <w:b/>
                <w:color w:val="30A46C"/>
                <w:sz w:val="22"/>
              </w:rPr>
              <w:t>Positive (+9% NOI YoY)</w:t>
            </w:r>
          </w:p>
        </w:tc>
        <w:tc>
          <w:tcPr>
            <w:tcW w:type="dxa" w:w="1728"/>
          </w:tcPr>
          <w:p>
            <w:r>
              <w:rPr>
                <w:rFonts w:ascii="Calibri" w:hAnsi="Calibri"/>
                <w:b/>
                <w:color w:val="30A46C"/>
                <w:sz w:val="22"/>
              </w:rPr>
              <w:t>Very Positive (13% blended)</w:t>
            </w:r>
          </w:p>
        </w:tc>
        <w:tc>
          <w:tcPr>
            <w:tcW w:type="dxa" w:w="1728"/>
          </w:tcPr>
          <w:p>
            <w:r>
              <w:rPr>
                <w:rFonts w:ascii="Calibri" w:hAnsi="Calibri"/>
                <w:b/>
                <w:color w:val="30A46C"/>
                <w:sz w:val="22"/>
              </w:rPr>
              <w:t>STRONGLY POSITIVE</w:t>
            </w:r>
          </w:p>
        </w:tc>
      </w:tr>
      <w:tr>
        <w:tc>
          <w:tcPr>
            <w:tcW w:type="dxa" w:w="1728"/>
          </w:tcPr>
          <w:p>
            <w:r>
              <w:rPr>
                <w:rFonts w:ascii="Calibri" w:hAnsi="Calibri"/>
                <w:sz w:val="22"/>
              </w:rPr>
              <w:t>Southern California</w:t>
            </w:r>
          </w:p>
        </w:tc>
        <w:tc>
          <w:tcPr>
            <w:tcW w:type="dxa" w:w="1728"/>
          </w:tcPr>
          <w:p>
            <w:r>
              <w:rPr>
                <w:rFonts w:ascii="Calibri" w:hAnsi="Calibri"/>
                <w:b/>
                <w:color w:val="E5484D"/>
                <w:sz w:val="22"/>
              </w:rPr>
              <w:t>Mixed (rev +1.2%, NOI -0.3%)</w:t>
            </w:r>
          </w:p>
        </w:tc>
        <w:tc>
          <w:tcPr>
            <w:tcW w:type="dxa" w:w="1728"/>
          </w:tcPr>
          <w:p>
            <w:r>
              <w:rPr>
                <w:rFonts w:ascii="Calibri" w:hAnsi="Calibri"/>
                <w:b/>
                <w:color w:val="30A46C"/>
                <w:sz w:val="22"/>
              </w:rPr>
              <w:t>Modest Positive (+1.4% NOI)</w:t>
            </w:r>
          </w:p>
        </w:tc>
        <w:tc>
          <w:tcPr>
            <w:tcW w:type="dxa" w:w="1728"/>
          </w:tcPr>
          <w:p>
            <w:r>
              <w:rPr>
                <w:rFonts w:ascii="Calibri" w:hAnsi="Calibri"/>
                <w:b/>
                <w:color w:val="30A46C"/>
                <w:sz w:val="22"/>
              </w:rPr>
              <w:t>Positive (OC blends &gt;3%)</w:t>
            </w:r>
          </w:p>
        </w:tc>
        <w:tc>
          <w:tcPr>
            <w:tcW w:type="dxa" w:w="1728"/>
          </w:tcPr>
          <w:p>
            <w:r>
              <w:rPr>
                <w:rFonts w:ascii="Calibri" w:hAnsi="Calibri"/>
                <w:sz w:val="22"/>
              </w:rPr>
              <w:t>MIXED / MODEST POSITIVE</w:t>
            </w:r>
          </w:p>
        </w:tc>
      </w:tr>
      <w:tr>
        <w:tc>
          <w:tcPr>
            <w:tcW w:type="dxa" w:w="1728"/>
          </w:tcPr>
          <w:p>
            <w:r>
              <w:rPr>
                <w:rFonts w:ascii="Calibri" w:hAnsi="Calibri"/>
                <w:sz w:val="22"/>
              </w:rPr>
              <w:t>Seattle</w:t>
            </w:r>
          </w:p>
        </w:tc>
        <w:tc>
          <w:tcPr>
            <w:tcW w:type="dxa" w:w="1728"/>
          </w:tcPr>
          <w:p>
            <w:r>
              <w:rPr>
                <w:rFonts w:ascii="Calibri" w:hAnsi="Calibri"/>
                <w:b/>
                <w:color w:val="E5484D"/>
                <w:sz w:val="22"/>
              </w:rPr>
              <w:t>Mixed (rev +1.1%, NOI -0.1%)</w:t>
            </w:r>
          </w:p>
        </w:tc>
        <w:tc>
          <w:tcPr>
            <w:tcW w:type="dxa" w:w="1728"/>
          </w:tcPr>
          <w:p>
            <w:r>
              <w:rPr>
                <w:rFonts w:ascii="Calibri" w:hAnsi="Calibri"/>
                <w:b/>
                <w:color w:val="E5484D"/>
                <w:sz w:val="22"/>
              </w:rPr>
              <w:t>Negative (NOI -2.5% YoY)</w:t>
            </w:r>
          </w:p>
        </w:tc>
        <w:tc>
          <w:tcPr>
            <w:tcW w:type="dxa" w:w="1728"/>
          </w:tcPr>
          <w:p>
            <w:r>
              <w:rPr>
                <w:rFonts w:ascii="Calibri" w:hAnsi="Calibri"/>
                <w:b/>
                <w:color w:val="30A46C"/>
                <w:sz w:val="22"/>
              </w:rPr>
              <w:t>Neutral-Positive (resilient)</w:t>
            </w:r>
          </w:p>
        </w:tc>
        <w:tc>
          <w:tcPr>
            <w:tcW w:type="dxa" w:w="1728"/>
          </w:tcPr>
          <w:p>
            <w:r>
              <w:rPr>
                <w:rFonts w:ascii="Calibri" w:hAnsi="Calibri"/>
                <w:b/>
                <w:color w:val="E5484D"/>
                <w:sz w:val="22"/>
              </w:rPr>
              <w:t>MIXED / SLIGHT NEGATIVE</w:t>
            </w:r>
          </w:p>
        </w:tc>
      </w:tr>
      <w:tr>
        <w:tc>
          <w:tcPr>
            <w:tcW w:type="dxa" w:w="1728"/>
          </w:tcPr>
          <w:p>
            <w:r>
              <w:rPr>
                <w:rFonts w:ascii="Calibri" w:hAnsi="Calibri"/>
                <w:sz w:val="22"/>
              </w:rPr>
              <w:t>Sector-Wide (Supply/Demand)</w:t>
            </w:r>
          </w:p>
        </w:tc>
        <w:tc>
          <w:tcPr>
            <w:tcW w:type="dxa" w:w="1728"/>
          </w:tcPr>
          <w:p>
            <w:r>
              <w:rPr>
                <w:rFonts w:ascii="Calibri" w:hAnsi="Calibri"/>
                <w:b/>
                <w:color w:val="30A46C"/>
                <w:sz w:val="22"/>
              </w:rPr>
              <w:t>Positive (guidance raised)</w:t>
            </w:r>
          </w:p>
        </w:tc>
        <w:tc>
          <w:tcPr>
            <w:tcW w:type="dxa" w:w="1728"/>
          </w:tcPr>
          <w:p>
            <w:r>
              <w:rPr>
                <w:rFonts w:ascii="Calibri" w:hAnsi="Calibri"/>
                <w:b/>
                <w:color w:val="30A46C"/>
                <w:sz w:val="22"/>
              </w:rPr>
              <w:t>Positive (guidance raised)</w:t>
            </w:r>
          </w:p>
        </w:tc>
        <w:tc>
          <w:tcPr>
            <w:tcW w:type="dxa" w:w="1728"/>
          </w:tcPr>
          <w:p>
            <w:r>
              <w:rPr>
                <w:rFonts w:ascii="Calibri" w:hAnsi="Calibri"/>
                <w:b/>
                <w:color w:val="30A46C"/>
                <w:sz w:val="22"/>
              </w:rPr>
              <w:t>Positive (guidance raised)</w:t>
            </w:r>
          </w:p>
        </w:tc>
        <w:tc>
          <w:tcPr>
            <w:tcW w:type="dxa" w:w="1728"/>
          </w:tcPr>
          <w:p>
            <w:r>
              <w:rPr>
                <w:rFonts w:ascii="Calibri" w:hAnsi="Calibri"/>
                <w:b/>
                <w:color w:val="30A46C"/>
                <w:sz w:val="22"/>
              </w:rPr>
              <w:t>STRONGLY POSITIVE</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Insider activity since the Q1 print is minimal — one open-market sale by a director in late May. No clustered buying or unusual selling patterns; the absence of insider buying at current prices (stock up ~10% since Q1) is not a negative signal given the stock’s recovery from depressed levels.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Mary Kasaris</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600 shares</w:t>
            </w:r>
          </w:p>
        </w:tc>
        <w:tc>
          <w:tcPr>
            <w:tcW w:type="dxa" w:w="1440"/>
          </w:tcPr>
          <w:p>
            <w:r>
              <w:rPr>
                <w:rFonts w:ascii="Calibri" w:hAnsi="Calibri"/>
                <w:sz w:val="22"/>
              </w:rPr>
              <w:t>May 27, 2026</w:t>
            </w:r>
          </w:p>
        </w:tc>
        <w:tc>
          <w:tcPr>
            <w:tcW w:type="dxa" w:w="1440"/>
          </w:tcPr>
          <w:p>
            <w:r>
              <w:rPr>
                <w:rFonts w:ascii="Calibri" w:hAnsi="Calibri"/>
                <w:sz w:val="22"/>
              </w:rPr>
              <w:t>Discretionary sale; 2,394 shares remaining post-transaction. Not under a disclosed 10b5-1 plan.</w:t>
            </w:r>
          </w:p>
        </w:tc>
      </w:tr>
    </w:tbl>
    <w:p>
      <w:r>
        <w:rPr>
          <w:rFonts w:ascii="Calibri" w:hAnsi="Calibri"/>
          <w:color w:val="525866"/>
          <w:sz w:val="22"/>
        </w:rPr>
        <w:t>Source: Insider Transaction Data (SEC Form 4 Filings). Filing date: May 29, 2026. No other open-market buys or sells were filed by ESS insiders in the April 28 – July 28, 2026 window. The company’s own share repurchase program ($62M in Q1 + early Q2 at avg $243.76) is the more meaningful capital allocation signal.</w:t>
      </w:r>
    </w:p>
    <w:p>
      <w:r>
        <w:br w:type="page"/>
      </w:r>
    </w:p>
    <w:p>
      <w:pPr>
        <w:pStyle w:val="Heading2"/>
      </w:pPr>
      <w:r>
        <w:rPr>
          <w:rFonts w:ascii="Calibri" w:hAnsi="Calibri"/>
          <w:b/>
          <w:color w:val="3B4259"/>
          <w:sz w:val="28"/>
        </w:rPr>
        <w:t>9. Key Risks</w:t>
      </w:r>
    </w:p>
    <w:p>
      <w:pPr>
        <w:pStyle w:val="ListBullet"/>
        <w:ind w:left="360" w:hanging="360"/>
      </w:pPr>
      <w:r>
        <w:rPr>
          <w:rFonts w:ascii="Calibri" w:hAnsi="Calibri"/>
          <w:b/>
          <w:color w:val="525866"/>
          <w:sz w:val="22"/>
        </w:rPr>
        <w:t>H2 Expense Reversal:</w:t>
      </w:r>
      <w:r>
        <w:rPr>
          <w:rFonts w:ascii="Calibri" w:hAnsi="Calibri"/>
          <w:color w:val="525866"/>
          <w:sz w:val="22"/>
        </w:rPr>
        <w:t xml:space="preserve"> Q1 same-store expenses were flat YoY due to timing (delayed controllable spend). Management guided ~$0.04 of this benefit to reverse in H2, creating a headwind to same-store NOI growth in Q3–Q4. If expenses come in higher than expected, full-year NOI guidance could be at risk.</w:t>
      </w:r>
    </w:p>
    <w:p>
      <w:pPr>
        <w:pStyle w:val="ListBullet"/>
        <w:ind w:left="360" w:hanging="360"/>
      </w:pPr>
      <w:r>
        <w:rPr>
          <w:rFonts w:ascii="Calibri" w:hAnsi="Calibri"/>
          <w:b/>
          <w:color w:val="525866"/>
          <w:sz w:val="22"/>
        </w:rPr>
        <w:t>Los Angeles Stagnation:</w:t>
      </w:r>
      <w:r>
        <w:rPr>
          <w:rFonts w:ascii="Calibri" w:hAnsi="Calibri"/>
          <w:color w:val="525866"/>
          <w:sz w:val="22"/>
        </w:rPr>
        <w:t xml:space="preserve"> LA economic occupancy at ~94.5% remains below the ~95% threshold for pricing power. Eviction processing timelines (currently ~4 months vs. ~3-month target) and delinquency recovery are slow. Any deterioration in LA fundamentals would weigh on Southern California same-store results (~42% of portfolio).</w:t>
      </w:r>
    </w:p>
    <w:p>
      <w:pPr>
        <w:pStyle w:val="ListBullet"/>
        <w:ind w:left="360" w:hanging="360"/>
      </w:pPr>
      <w:r>
        <w:rPr>
          <w:rFonts w:ascii="Calibri" w:hAnsi="Calibri"/>
          <w:b/>
          <w:color w:val="525866"/>
          <w:sz w:val="22"/>
        </w:rPr>
        <w:t>Structured Finance Timing:</w:t>
      </w:r>
      <w:r>
        <w:rPr>
          <w:rFonts w:ascii="Calibri" w:hAnsi="Calibri"/>
          <w:color w:val="525866"/>
          <w:sz w:val="22"/>
        </w:rPr>
        <w:t xml:space="preserve"> One investment that matured in March 2026 has not been fully resolved; management is not accruing FFO due to uncertainty and expects resolution in early 2027. Any adverse outcome could create an incremental FFO headwind.</w:t>
      </w:r>
    </w:p>
    <w:p>
      <w:pPr>
        <w:pStyle w:val="ListBullet"/>
        <w:ind w:left="360" w:hanging="360"/>
      </w:pPr>
      <w:r>
        <w:rPr>
          <w:rFonts w:ascii="Calibri" w:hAnsi="Calibri"/>
          <w:b/>
          <w:color w:val="525866"/>
          <w:sz w:val="22"/>
        </w:rPr>
        <w:t>Macro / Geopolitical Uncertainty:</w:t>
      </w:r>
      <w:r>
        <w:rPr>
          <w:rFonts w:ascii="Calibri" w:hAnsi="Calibri"/>
          <w:color w:val="525866"/>
          <w:sz w:val="22"/>
        </w:rPr>
        <w:t xml:space="preserve"> Management explicitly cited macro uncertainty (geopolitical tensions, soft job growth assumptions) as the reason for not raising guidance at Q1. A deterioration in tech employment or broader economic slowdown could pressure Northern California demand.</w:t>
      </w:r>
    </w:p>
    <w:p>
      <w:pPr>
        <w:pStyle w:val="ListBullet"/>
        <w:ind w:left="360" w:hanging="360"/>
      </w:pPr>
      <w:r>
        <w:rPr>
          <w:rFonts w:ascii="Calibri" w:hAnsi="Calibri"/>
          <w:b/>
          <w:color w:val="525866"/>
          <w:sz w:val="22"/>
        </w:rPr>
        <w:t>Multiple Compression Risk:</w:t>
      </w:r>
      <w:r>
        <w:rPr>
          <w:rFonts w:ascii="Calibri" w:hAnsi="Calibri"/>
          <w:color w:val="525866"/>
          <w:sz w:val="22"/>
        </w:rPr>
        <w:t xml:space="preserve"> ESS now trades at ~19.6x NTM EV/EBITDA, up from ~18.0x three months ago. Most of the recent stock appreciation has been multiple expansion rather than estimate revisions. If the Q2 print disappoints or guidance is not raised, multiple compression could reverse recent gains.</w:t>
      </w:r>
    </w:p>
    <w:p>
      <w:pPr>
        <w:pStyle w:val="ListBullet"/>
        <w:ind w:left="360" w:hanging="360"/>
      </w:pPr>
      <w:r>
        <w:rPr>
          <w:rFonts w:ascii="Calibri" w:hAnsi="Calibri"/>
          <w:b/>
          <w:color w:val="525866"/>
          <w:sz w:val="22"/>
        </w:rPr>
        <w:t>Seattle Regulatory / Job Outflow Risk:</w:t>
      </w:r>
      <w:r>
        <w:rPr>
          <w:rFonts w:ascii="Calibri" w:hAnsi="Calibri"/>
          <w:color w:val="525866"/>
          <w:sz w:val="22"/>
        </w:rPr>
        <w:t xml:space="preserve"> Washington’s new rent stabilization law and high-profile job relocations (e.g., Starbucks moving 2,000 jobs to Nashville per MAA commentary) represent headwinds for ESS’s Seattle portfolio (~18% of same-store revenue).</w:t>
      </w:r>
    </w:p>
    <w:p>
      <w:pPr>
        <w:pStyle w:val="ListBullet"/>
        <w:ind w:left="360" w:hanging="360"/>
      </w:pPr>
      <w:r>
        <w:rPr>
          <w:rFonts w:ascii="Calibri" w:hAnsi="Calibri"/>
          <w:b/>
          <w:color w:val="525866"/>
          <w:sz w:val="22"/>
        </w:rPr>
        <w:t>AVB/EQR Merger Execution Risk:</w:t>
      </w:r>
      <w:r>
        <w:rPr>
          <w:rFonts w:ascii="Calibri" w:hAnsi="Calibri"/>
          <w:color w:val="525866"/>
          <w:sz w:val="22"/>
        </w:rPr>
        <w:t xml:space="preserve"> While the merger positions ESS as the only pure-play coastal REIT, any delay or complication in the merger close could reduce the anticipated re-rating benefit.</w:t>
      </w:r>
    </w:p>
    <w:p>
      <w:pPr>
        <w:pStyle w:val="ListBullet"/>
        <w:ind w:left="360" w:hanging="360"/>
      </w:pPr>
      <w:r>
        <w:rPr>
          <w:rFonts w:ascii="Calibri" w:hAnsi="Calibri"/>
          <w:b/>
          <w:color w:val="525866"/>
          <w:sz w:val="22"/>
        </w:rPr>
        <w:t>Peak Season Disappointment:</w:t>
      </w:r>
      <w:r>
        <w:rPr>
          <w:rFonts w:ascii="Calibri" w:hAnsi="Calibri"/>
          <w:color w:val="525866"/>
          <w:sz w:val="22"/>
        </w:rPr>
        <w:t xml:space="preserve"> Management’s guidance assumes blended rates in H2 will be “relatively similar” to H1, based on muted job growth assumptions. If peak leasing season (June–August) underdelivers vs. the 3.7% May data point, the case for a guidance raise weakens.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