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ETN (Eaton Corporation) before writing the preview. Let me gather recent earnings materials, news, and market data.Let me read the most recent earnings materials (2026Q1 release and call) and the prior quarter.Now let me get recent stock price data and any recent news heading into the print.Let me look into the sharp price move on July 28-29 and gather Street expectations/sector context.I have enough to write a well-grounded preview. Here it is.</w:t>
      </w:r>
    </w:p>
    <w:p>
      <w:r>
        <w:pict>
          <v:rect style="width:0;height:1.5pt" o:hralign="center" o:hrstd="t" o:hr="t"/>
        </w:pict>
      </w:r>
    </w:p>
    <w:bookmarkStart w:id="19" w:name="X06d22f1ccc57faef88b17f663babf401667860f"/>
    <w:p>
      <w:pPr>
        <w:pStyle w:val="Heading1"/>
      </w:pPr>
      <w:r>
        <w:t xml:space="preserve">Eaton Corporation (ETN) — Q2 2026 Earnings Preview</w:t>
      </w:r>
    </w:p>
    <w:bookmarkStart w:id="9" w:name="X16df723a78a47a5271684463758ea0ff53c150d"/>
    <w:p>
      <w:pPr>
        <w:pStyle w:val="Heading3"/>
      </w:pPr>
      <w:r>
        <w:t xml:space="preserve">Reports Friday, July 31, 2026 (before market open) | 2026Q2 Earnings Call</w:t>
      </w:r>
    </w:p>
    <w:bookmarkEnd w:id="9"/>
    <w:bookmarkStart w:id="10" w:name="the-setup-in-one-line"/>
    <w:p>
      <w:pPr>
        <w:pStyle w:val="Heading2"/>
      </w:pPr>
      <w:r>
        <w:t xml:space="preserve">The Setup in One Line</w:t>
      </w:r>
    </w:p>
    <w:p>
      <w:pPr>
        <w:pStyle w:val="FirstParagraph"/>
      </w:pPr>
      <w:r>
        <w:t xml:space="preserve">Eaton goes into Q2 as an AI-data-center darling that has already told the Street this is a "year of execution" — meaning the debate is</w:t>
      </w:r>
      <w:r>
        <w:t xml:space="preserve"> </w:t>
      </w:r>
      <w:r>
        <w:rPr>
          <w:b/>
          <w:bCs/>
        </w:rPr>
        <w:t xml:space="preserve">not about demand (which is booming) but about margins</w:t>
      </w:r>
      <w:r>
        <w:t xml:space="preserve">, specifically whether Electrical Americas can start delivering the promised sequential recovery after a disappointing Q1. A brutal read-across from peer Vertiv on July 29 makes this print higher-stakes than usual.</w:t>
      </w:r>
    </w:p>
    <w:p>
      <w:r>
        <w:pict>
          <v:rect style="width:0;height:1.5pt" o:hralign="center" o:hrstd="t" o:hr="t"/>
        </w:pict>
      </w:r>
    </w:p>
    <w:bookmarkEnd w:id="10"/>
    <w:bookmarkStart w:id="11" w:name="Xf8d05796f97cc794323a77a648ea2c64b933c6a"/>
    <w:p>
      <w:pPr>
        <w:pStyle w:val="Heading2"/>
      </w:pPr>
      <w:r>
        <w:t xml:space="preserve">What Management Guided For (set in Q1, May 5)</w:t>
      </w:r>
    </w:p>
    <w:p>
      <w:pPr>
        <w:pStyle w:val="FirstParagraph"/>
      </w:pPr>
      <w:r>
        <w:t xml:space="preserve">For Q2 2026 specifically, Eaton guided to:</w:t>
      </w:r>
    </w:p>
    <w:p>
      <w:pPr>
        <w:pStyle w:val="Compact"/>
        <w:numPr>
          <w:ilvl w:val="0"/>
          <w:numId w:val="1001"/>
        </w:numPr>
      </w:pPr>
      <w:r>
        <w:rPr>
          <w:b/>
          <w:bCs/>
        </w:rPr>
        <w:t xml:space="preserve">Organic growth: 9–11%</w:t>
      </w:r>
    </w:p>
    <w:p>
      <w:pPr>
        <w:pStyle w:val="Compact"/>
        <w:numPr>
          <w:ilvl w:val="0"/>
          <w:numId w:val="1001"/>
        </w:numPr>
      </w:pPr>
      <w:r>
        <w:rPr>
          <w:b/>
          <w:bCs/>
        </w:rPr>
        <w:t xml:space="preserve">Segment margins: 22.6–23.0%</w:t>
      </w:r>
    </w:p>
    <w:p>
      <w:pPr>
        <w:pStyle w:val="Compact"/>
        <w:numPr>
          <w:ilvl w:val="0"/>
          <w:numId w:val="1001"/>
        </w:numPr>
      </w:pPr>
      <w:r>
        <w:rPr>
          <w:b/>
          <w:bCs/>
        </w:rPr>
        <w:t xml:space="preserve">GAAP EPS:</w:t>
      </w:r>
      <w:r>
        <w:rPr>
          <w:b/>
          <w:bCs/>
        </w:rPr>
        <w:t xml:space="preserve"> </w:t>
      </w:r>
      <m:oMath>
        <m:r>
          <m:t>2.29</m:t>
        </m:r>
        <m:r>
          <m:rPr>
            <m:sty m:val="p"/>
          </m:rPr>
          <m:t>–</m:t>
        </m:r>
      </m:oMath>
      <w:r>
        <w:rPr>
          <w:b/>
          <w:bCs/>
        </w:rPr>
        <w:t xml:space="preserve">2.39</w:t>
      </w:r>
    </w:p>
    <w:p>
      <w:pPr>
        <w:pStyle w:val="Compact"/>
        <w:numPr>
          <w:ilvl w:val="0"/>
          <w:numId w:val="1001"/>
        </w:numPr>
      </w:pPr>
      <w:r>
        <w:rPr>
          <w:b/>
          <w:bCs/>
        </w:rPr>
        <w:t xml:space="preserve">Adjusted EPS:</w:t>
      </w:r>
      <w:r>
        <w:rPr>
          <w:b/>
          <w:bCs/>
        </w:rPr>
        <w:t xml:space="preserve"> </w:t>
      </w:r>
      <m:oMath>
        <m:r>
          <m:t>3.00</m:t>
        </m:r>
        <m:r>
          <m:rPr>
            <m:sty m:val="p"/>
          </m:rPr>
          <m:t>–</m:t>
        </m:r>
      </m:oMath>
      <w:r>
        <w:rPr>
          <w:b/>
          <w:bCs/>
        </w:rPr>
        <w:t xml:space="preserve">3.10</w:t>
      </w:r>
    </w:p>
    <w:p>
      <w:pPr>
        <w:pStyle w:val="FirstParagraph"/>
      </w:pPr>
      <w:r>
        <w:t xml:space="preserve">The Street is looking for</w:t>
      </w:r>
      <w:r>
        <w:t xml:space="preserve"> </w:t>
      </w:r>
      <w:r>
        <w:rPr>
          <w:b/>
          <w:bCs/>
        </w:rPr>
        <w:t xml:space="preserve">total sales up ~15.6% to roughly $8.12B</w:t>
      </w:r>
      <w:r>
        <w:t xml:space="preserve">, and sentiment into the print is bullish given the data-center-driven demand tailwinds in the Electrical businesses.</w:t>
      </w:r>
    </w:p>
    <w:p>
      <w:pPr>
        <w:pStyle w:val="BodyText"/>
      </w:pPr>
      <w:r>
        <w:t xml:space="preserve">Full-year 2026 framing (raised in Q1): organic growth 9–11%, segment margins 24.1–24.5%, and adjusted EPS</w:t>
      </w:r>
      <w:r>
        <w:t xml:space="preserve"> </w:t>
      </w:r>
      <m:oMath>
        <m:r>
          <m:t>13.05</m:t>
        </m:r>
        <m:r>
          <m:rPr>
            <m:sty m:val="p"/>
          </m:rPr>
          <m:t>–</m:t>
        </m:r>
      </m:oMath>
      <w:r>
        <w:t xml:space="preserve">13.50 (midpoint</w:t>
      </w:r>
      <w:r>
        <w:t xml:space="preserve"> </w:t>
      </w:r>
      <w:r>
        <w:rPr>
          <w:b/>
          <w:bCs/>
        </w:rPr>
        <w:t xml:space="preserve">$13.28</w:t>
      </w:r>
      <w:r>
        <w:t xml:space="preserve">, up ~10% y/y). Notably, at Q1 management</w:t>
      </w:r>
      <w:r>
        <w:t xml:space="preserve"> </w:t>
      </w:r>
      <w:r>
        <w:rPr>
          <w:i/>
          <w:iCs/>
        </w:rPr>
        <w:t xml:space="preserve">lowered</w:t>
      </w:r>
      <w:r>
        <w:t xml:space="preserve"> </w:t>
      </w:r>
      <w:r>
        <w:t xml:space="preserve">the full-year margin range by 50bps (on Electrical Americas weakness) while</w:t>
      </w:r>
      <w:r>
        <w:t xml:space="preserve"> </w:t>
      </w:r>
      <w:r>
        <w:rPr>
          <w:i/>
          <w:iCs/>
        </w:rPr>
        <w:t xml:space="preserve">raising</w:t>
      </w:r>
      <w:r>
        <w:t xml:space="preserve"> </w:t>
      </w:r>
      <w:r>
        <w:t xml:space="preserve">the organic growth outlook by 200bps — a "growth is great, margins are the question" dynamic that carries directly into Q2.</w:t>
      </w:r>
    </w:p>
    <w:p>
      <w:r>
        <w:pict>
          <v:rect style="width:0;height:1.5pt" o:hralign="center" o:hrstd="t" o:hr="t"/>
        </w:pict>
      </w:r>
    </w:p>
    <w:bookmarkEnd w:id="11"/>
    <w:bookmarkStart w:id="12" w:name="X4a99adb511a88d8aa3b9599c103ec585b9a3b89"/>
    <w:p>
      <w:pPr>
        <w:pStyle w:val="Heading2"/>
      </w:pPr>
      <w:r>
        <w:t xml:space="preserve">The #1 Thing to Watch: Electrical Americas Margin Recovery</w:t>
      </w:r>
    </w:p>
    <w:p>
      <w:pPr>
        <w:pStyle w:val="FirstParagraph"/>
      </w:pPr>
      <w:r>
        <w:t xml:space="preserve">This is the crux of the ETN story right now. In Q1:</w:t>
      </w:r>
    </w:p>
    <w:p>
      <w:pPr>
        <w:pStyle w:val="Compact"/>
        <w:numPr>
          <w:ilvl w:val="0"/>
          <w:numId w:val="1002"/>
        </w:numPr>
      </w:pPr>
      <w:r>
        <w:t xml:space="preserve">Electrical Americas revenue was a record $3.6B (+20% total, +14% organic), but</w:t>
      </w:r>
      <w:r>
        <w:t xml:space="preserve"> </w:t>
      </w:r>
      <w:r>
        <w:rPr>
          <w:b/>
          <w:bCs/>
        </w:rPr>
        <w:t xml:space="preserve">operating margin came in at 25.6% — below plan and down ~110bps y/y</w:t>
      </w:r>
      <w:r>
        <w:t xml:space="preserve">, dragging total segment margins (22.7%) below guidance.</w:t>
      </w:r>
    </w:p>
    <w:p>
      <w:pPr>
        <w:pStyle w:val="Compact"/>
        <w:numPr>
          <w:ilvl w:val="0"/>
          <w:numId w:val="1002"/>
        </w:numPr>
      </w:pPr>
      <w:r>
        <w:t xml:space="preserve">Management attributed the miss to</w:t>
      </w:r>
      <w:r>
        <w:t xml:space="preserve"> </w:t>
      </w:r>
      <w:r>
        <w:rPr>
          <w:b/>
          <w:bCs/>
        </w:rPr>
        <w:t xml:space="preserve">two "temporary" headwinds</w:t>
      </w:r>
      <w:r>
        <w:t xml:space="preserve">: (1) negative price/cost lag from early-year commodity inflation, and (2) front-loaded ramp-up costs (labor, depreciation, start-up) as they accelerated the build-out of 12 new/expanded factories to meet a demand inflection.</w:t>
      </w:r>
    </w:p>
    <w:p>
      <w:pPr>
        <w:pStyle w:val="FirstParagraph"/>
      </w:pPr>
      <w:r>
        <w:t xml:space="preserve">Management's explicit commitments to test on this call:</w:t>
      </w:r>
    </w:p>
    <w:p>
      <w:pPr>
        <w:pStyle w:val="Compact"/>
        <w:numPr>
          <w:ilvl w:val="0"/>
          <w:numId w:val="1003"/>
        </w:numPr>
      </w:pPr>
      <w:r>
        <w:rPr>
          <w:b/>
          <w:bCs/>
        </w:rPr>
        <w:t xml:space="preserve">Q1 was "the trough"</w:t>
      </w:r>
      <w:r>
        <w:t xml:space="preserve"> </w:t>
      </w:r>
      <w:r>
        <w:t xml:space="preserve">for Americas sales and margins.</w:t>
      </w:r>
    </w:p>
    <w:p>
      <w:pPr>
        <w:pStyle w:val="Compact"/>
        <w:numPr>
          <w:ilvl w:val="0"/>
          <w:numId w:val="1003"/>
        </w:numPr>
      </w:pPr>
      <w:r>
        <w:t xml:space="preserve">CFO Dave Foster quantified</w:t>
      </w:r>
      <w:r>
        <w:t xml:space="preserve"> </w:t>
      </w:r>
      <w:r>
        <w:rPr>
          <w:b/>
          <w:bCs/>
        </w:rPr>
        <w:t xml:space="preserve">+150bps sequential improvement in Electrical Americas margin from Q1 to Q2</w:t>
      </w:r>
      <w:r>
        <w:t xml:space="preserve">, aided by an</w:t>
      </w:r>
      <w:r>
        <w:t xml:space="preserve"> </w:t>
      </w:r>
      <w:r>
        <w:rPr>
          <w:b/>
          <w:bCs/>
        </w:rPr>
        <w:t xml:space="preserve">April 1 price increase</w:t>
      </w:r>
      <w:r>
        <w:t xml:space="preserve"> </w:t>
      </w:r>
      <w:r>
        <w:t xml:space="preserve">(whose full benefit lands in Q2).</w:t>
      </w:r>
    </w:p>
    <w:p>
      <w:pPr>
        <w:pStyle w:val="Compact"/>
        <w:numPr>
          <w:ilvl w:val="0"/>
          <w:numId w:val="1003"/>
        </w:numPr>
      </w:pPr>
      <w:r>
        <w:t xml:space="preserve">Exit-2026 Americas margin</w:t>
      </w:r>
      <w:r>
        <w:t xml:space="preserve"> </w:t>
      </w:r>
      <w:r>
        <w:rPr>
          <w:b/>
          <w:bCs/>
        </w:rPr>
        <w:t xml:space="preserve">"north of 30%"</w:t>
      </w:r>
      <w:r>
        <w:t xml:space="preserve">, on the path to the</w:t>
      </w:r>
      <w:r>
        <w:t xml:space="preserve"> </w:t>
      </w:r>
      <w:r>
        <w:rPr>
          <w:b/>
          <w:bCs/>
        </w:rPr>
        <w:t xml:space="preserve">32% 2030 target</w:t>
      </w:r>
      <w:r>
        <w:t xml:space="preserve">.</w:t>
      </w:r>
    </w:p>
    <w:p>
      <w:pPr>
        <w:pStyle w:val="Compact"/>
        <w:numPr>
          <w:ilvl w:val="0"/>
          <w:numId w:val="1003"/>
        </w:numPr>
      </w:pPr>
      <w:r>
        <w:t xml:space="preserve">Full-year Electrical Americas segment profit still ~</w:t>
      </w:r>
      <w:r>
        <w:rPr>
          <w:b/>
          <w:bCs/>
        </w:rPr>
        <w:t xml:space="preserve">$4.4B</w:t>
      </w:r>
      <w:r>
        <w:t xml:space="preserve">.</w:t>
      </w:r>
    </w:p>
    <w:p>
      <w:pPr>
        <w:pStyle w:val="FirstParagraph"/>
      </w:pPr>
      <w:r>
        <w:rPr>
          <w:b/>
          <w:bCs/>
        </w:rPr>
        <w:t xml:space="preserve">Bottom line:</w:t>
      </w:r>
      <w:r>
        <w:t xml:space="preserve"> </w:t>
      </w:r>
      <w:r>
        <w:t xml:space="preserve">The print itself matters less than proof points that (a) the sequential margin walk is real, and (b) pricing is offsetting cost. If EA margin doesn't visibly inflect, the "temporary" narrative gets challenged and the stock is vulnerable given rich multiple.</w:t>
      </w:r>
    </w:p>
    <w:p>
      <w:r>
        <w:pict>
          <v:rect style="width:0;height:1.5pt" o:hralign="center" o:hrstd="t" o:hr="t"/>
        </w:pict>
      </w:r>
    </w:p>
    <w:bookmarkEnd w:id="12"/>
    <w:bookmarkStart w:id="13" w:name="Xdcaa1649d284636c06c4a8d3b86dd2f3b790335"/>
    <w:p>
      <w:pPr>
        <w:pStyle w:val="Heading2"/>
      </w:pPr>
      <w:r>
        <w:t xml:space="preserve">The #2 Thing to Watch: Data-Center Demand &amp; the Vertiv Read-Through</w:t>
      </w:r>
    </w:p>
    <w:p>
      <w:pPr>
        <w:pStyle w:val="FirstParagraph"/>
      </w:pPr>
      <w:r>
        <w:t xml:space="preserve">Demand has been the unambiguous bright spot:</w:t>
      </w:r>
    </w:p>
    <w:p>
      <w:pPr>
        <w:pStyle w:val="Compact"/>
        <w:numPr>
          <w:ilvl w:val="0"/>
          <w:numId w:val="1004"/>
        </w:numPr>
      </w:pPr>
      <w:r>
        <w:t xml:space="preserve">Electrical Americas</w:t>
      </w:r>
      <w:r>
        <w:t xml:space="preserve"> </w:t>
      </w:r>
      <w:r>
        <w:rPr>
          <w:b/>
          <w:bCs/>
        </w:rPr>
        <w:t xml:space="preserve">rolling-12-month orders +42%</w:t>
      </w:r>
      <w:r>
        <w:t xml:space="preserve">, with</w:t>
      </w:r>
      <w:r>
        <w:t xml:space="preserve"> </w:t>
      </w:r>
      <w:r>
        <w:rPr>
          <w:b/>
          <w:bCs/>
        </w:rPr>
        <w:t xml:space="preserve">data-center orders up ~240%</w:t>
      </w:r>
      <w:r>
        <w:t xml:space="preserve"> </w:t>
      </w:r>
      <w:r>
        <w:t xml:space="preserve">and the negotiation pipeline up 81%.</w:t>
      </w:r>
    </w:p>
    <w:p>
      <w:pPr>
        <w:pStyle w:val="Compact"/>
        <w:numPr>
          <w:ilvl w:val="0"/>
          <w:numId w:val="1004"/>
        </w:numPr>
      </w:pPr>
      <w:r>
        <w:t xml:space="preserve">Total</w:t>
      </w:r>
      <w:r>
        <w:t xml:space="preserve"> </w:t>
      </w:r>
      <w:r>
        <w:rPr>
          <w:b/>
          <w:bCs/>
        </w:rPr>
        <w:t xml:space="preserve">Electrical backlog +48% y/y</w:t>
      </w:r>
      <w:r>
        <w:t xml:space="preserve">;</w:t>
      </w:r>
      <w:r>
        <w:t xml:space="preserve"> </w:t>
      </w:r>
      <w:r>
        <w:rPr>
          <w:b/>
          <w:bCs/>
        </w:rPr>
        <w:t xml:space="preserve">Aerospace backlog +28%</w:t>
      </w:r>
      <w:r>
        <w:t xml:space="preserve">; combined Electrical book-to-bill</w:t>
      </w:r>
      <w:r>
        <w:t xml:space="preserve"> </w:t>
      </w:r>
      <w:r>
        <w:rPr>
          <w:b/>
          <w:bCs/>
        </w:rPr>
        <w:t xml:space="preserve">1.2</w:t>
      </w:r>
      <w:r>
        <w:t xml:space="preserve">.</w:t>
      </w:r>
    </w:p>
    <w:p>
      <w:pPr>
        <w:pStyle w:val="Compact"/>
        <w:numPr>
          <w:ilvl w:val="0"/>
          <w:numId w:val="1004"/>
        </w:numPr>
      </w:pPr>
      <w:r>
        <w:t xml:space="preserve">Eaton raised its data-center market view, citing ~32 GW of U.S. capacity under construction (70% AI) and a ~228 GW total pipeline (~12 years of backlog).</w:t>
      </w:r>
    </w:p>
    <w:p>
      <w:pPr>
        <w:pStyle w:val="FirstParagraph"/>
      </w:pPr>
      <w:r>
        <w:rPr>
          <w:b/>
          <w:bCs/>
        </w:rPr>
        <w:t xml:space="preserve">The fresh risk factor:</w:t>
      </w:r>
      <w:r>
        <w:t xml:space="preserve"> </w:t>
      </w:r>
      <w:r>
        <w:t xml:space="preserve">On</w:t>
      </w:r>
      <w:r>
        <w:t xml:space="preserve"> </w:t>
      </w:r>
      <w:r>
        <w:rPr>
          <w:b/>
          <w:bCs/>
        </w:rPr>
        <w:t xml:space="preserve">July 29, data-center power/cooling peer Vertiv (VRT) plunged ~17%</w:t>
      </w:r>
      <w:r>
        <w:t xml:space="preserve"> </w:t>
      </w:r>
      <w:r>
        <w:t xml:space="preserve">after reporting organic growth of ~17.8% versus a ~23.6% consensus — a shortfall management blamed on project-timing/"multi-phased execution," not demand. ETN shares fell ~6% intraday that day (from ~</w:t>
      </w:r>
      <m:oMath>
        <m:r>
          <m:t>386</m:t>
        </m:r>
        <m:r>
          <m:t>t</m:t>
        </m:r>
        <m:r>
          <m:t>o</m:t>
        </m:r>
        <m:r>
          <m:t> </m:t>
        </m:r>
      </m:oMath>
      <w:r>
        <w:t xml:space="preserve">362) on the read-across before recovering to ~$387 on July 30. Investors will scrutinize ETN's own</w:t>
      </w:r>
      <w:r>
        <w:t xml:space="preserve"> </w:t>
      </w:r>
      <w:r>
        <w:rPr>
          <w:b/>
          <w:bCs/>
        </w:rPr>
        <w:t xml:space="preserve">orders trajectory, book-to-bill and any hint of project-timing lumpiness</w:t>
      </w:r>
      <w:r>
        <w:t xml:space="preserve"> </w:t>
      </w:r>
      <w:r>
        <w:t xml:space="preserve">for confirmation or contradiction of the Vertiv scare. Given how much of the bull case rests on AI infrastructure, any deceleration in the order growth rate — even from a torrid base — could be punished.</w:t>
      </w:r>
    </w:p>
    <w:p>
      <w:r>
        <w:pict>
          <v:rect style="width:0;height:1.5pt" o:hralign="center" o:hrstd="t" o:hr="t"/>
        </w:pict>
      </w:r>
    </w:p>
    <w:bookmarkEnd w:id="13"/>
    <w:bookmarkStart w:id="14" w:name="X525ba56306b3c4e3790be9d93da987a4ddf3a1d"/>
    <w:p>
      <w:pPr>
        <w:pStyle w:val="Heading2"/>
      </w:pPr>
      <w:r>
        <w:t xml:space="preserve">The #3 Thing to Watch: Boyd Thermal &amp; the Acquisition-Heavy Balance Sheet</w:t>
      </w:r>
    </w:p>
    <w:p>
      <w:pPr>
        <w:pStyle w:val="FirstParagraph"/>
      </w:pPr>
      <w:r>
        <w:t xml:space="preserve">Eaton closed</w:t>
      </w:r>
      <w:r>
        <w:t xml:space="preserve"> </w:t>
      </w:r>
      <w:r>
        <w:rPr>
          <w:b/>
          <w:bCs/>
        </w:rPr>
        <w:t xml:space="preserve">~$11B of acquisitions in Q1</w:t>
      </w:r>
      <w:r>
        <w:t xml:space="preserve">, headlined by:</w:t>
      </w:r>
    </w:p>
    <w:p>
      <w:pPr>
        <w:pStyle w:val="Compact"/>
        <w:numPr>
          <w:ilvl w:val="0"/>
          <w:numId w:val="1005"/>
        </w:numPr>
      </w:pPr>
      <w:r>
        <w:rPr>
          <w:b/>
          <w:bCs/>
        </w:rPr>
        <w:t xml:space="preserve">Boyd Thermal ($9.55B)</w:t>
      </w:r>
      <w:r>
        <w:t xml:space="preserve"> </w:t>
      </w:r>
      <w:r>
        <w:t xml:space="preserve">— liquid-cooling / cold-plate leader, giving Eaton a "grid-to-chip" data-center offering (reported in Electrical Global).</w:t>
      </w:r>
    </w:p>
    <w:p>
      <w:pPr>
        <w:pStyle w:val="Compact"/>
        <w:numPr>
          <w:ilvl w:val="0"/>
          <w:numId w:val="1005"/>
        </w:numPr>
      </w:pPr>
      <w:r>
        <w:rPr>
          <w:b/>
          <w:bCs/>
        </w:rPr>
        <w:t xml:space="preserve">Ultra PCS ($1.53B)</w:t>
      </w:r>
      <w:r>
        <w:t xml:space="preserve"> </w:t>
      </w:r>
      <w:r>
        <w:t xml:space="preserve">— aerospace mission-critical electronics (reported in Aerospace).</w:t>
      </w:r>
    </w:p>
    <w:p>
      <w:pPr>
        <w:pStyle w:val="FirstParagraph"/>
      </w:pPr>
      <w:r>
        <w:t xml:space="preserve">Boyd is off to a strong start (Q1 revenue &gt;100% y/y, backlog doubled in six months; ~</w:t>
      </w:r>
      <m:oMath>
        <m:r>
          <m:t>400</m:t>
        </m:r>
        <m:r>
          <m:t>M</m:t>
        </m:r>
        <m:r>
          <m:rPr>
            <m:sty m:val="p"/>
          </m:rPr>
          <m:t>/</m:t>
        </m:r>
        <m:r>
          <m:t>q</m:t>
        </m:r>
        <m:r>
          <m:t>u</m:t>
        </m:r>
        <m:r>
          <m:t>a</m:t>
        </m:r>
        <m:r>
          <m:t>r</m:t>
        </m:r>
        <m:r>
          <m:t>t</m:t>
        </m:r>
        <m:r>
          <m:t>e</m:t>
        </m:r>
        <m:r>
          <m:t>r</m:t>
        </m:r>
        <m:r>
          <m:t>r</m:t>
        </m:r>
        <m:r>
          <m:t>u</m:t>
        </m:r>
        <m:r>
          <m:t>n</m:t>
        </m:r>
        <m:r>
          <m:rPr>
            <m:sty m:val="p"/>
          </m:rPr>
          <m:t>−</m:t>
        </m:r>
        <m:r>
          <m:t>r</m:t>
        </m:r>
        <m:r>
          <m:t>a</m:t>
        </m:r>
        <m:r>
          <m:t>t</m:t>
        </m:r>
        <m:r>
          <m:t>e</m:t>
        </m:r>
        <m:r>
          <m:rPr>
            <m:sty m:val="p"/>
          </m:rPr>
          <m:t>)</m:t>
        </m:r>
        <m:r>
          <m:rPr>
            <m:sty m:val="p"/>
          </m:rPr>
          <m:t>.</m:t>
        </m:r>
        <m:r>
          <m:t>M</m:t>
        </m:r>
        <m:r>
          <m:t>a</m:t>
        </m:r>
        <m:r>
          <m:t>n</m:t>
        </m:r>
        <m:r>
          <m:t>a</m:t>
        </m:r>
        <m:r>
          <m:t>g</m:t>
        </m:r>
        <m:r>
          <m:t>e</m:t>
        </m:r>
        <m:r>
          <m:t>m</m:t>
        </m:r>
        <m:r>
          <m:t>e</m:t>
        </m:r>
        <m:r>
          <m:t>n</m:t>
        </m:r>
        <m:r>
          <m:t>t</m:t>
        </m:r>
        <m:r>
          <m:t>g</m:t>
        </m:r>
        <m:r>
          <m:t>u</m:t>
        </m:r>
        <m:r>
          <m:t>i</m:t>
        </m:r>
        <m:r>
          <m:t>d</m:t>
        </m:r>
        <m:r>
          <m:t>e</m:t>
        </m:r>
        <m:r>
          <m:t>d</m:t>
        </m:r>
        <m:r>
          <m:t>t</m:t>
        </m:r>
        <m:r>
          <m:t>h</m:t>
        </m:r>
        <m:r>
          <m:t>e</m:t>
        </m:r>
        <m:r>
          <m:t>c</m:t>
        </m:r>
        <m:r>
          <m:t>o</m:t>
        </m:r>
        <m:r>
          <m:t>o</m:t>
        </m:r>
        <m:r>
          <m:t>l</m:t>
        </m:r>
        <m:r>
          <m:t>i</m:t>
        </m:r>
        <m:r>
          <m:t>n</m:t>
        </m:r>
        <m:r>
          <m:t>g</m:t>
        </m:r>
        <m:r>
          <m:t>b</m:t>
        </m:r>
        <m:r>
          <m:t>u</m:t>
        </m:r>
        <m:r>
          <m:t>s</m:t>
        </m:r>
        <m:r>
          <m:t>i</m:t>
        </m:r>
        <m:r>
          <m:t>n</m:t>
        </m:r>
        <m:r>
          <m:t>e</m:t>
        </m:r>
        <m:r>
          <m:t>s</m:t>
        </m:r>
        <m:r>
          <m:t>s</m:t>
        </m:r>
        <m:r>
          <m:t>t</m:t>
        </m:r>
        <m:r>
          <m:t>o</m:t>
        </m:r>
        <m:r>
          <m:rPr>
            <m:sty m:val="p"/>
          </m:rPr>
          <m:t>*</m:t>
        </m:r>
        <m:r>
          <m:rPr>
            <m:sty m:val="p"/>
          </m:rPr>
          <m:t>*</m:t>
        </m:r>
      </m:oMath>
      <w:r>
        <w:t xml:space="preserve">1.7B+ full-year revenue (~$1.4B in Eaton's 2026 results)** but explicitly said they held the forecast conservative after owning it only three weeks — flagging</w:t>
      </w:r>
      <w:r>
        <w:t xml:space="preserve"> </w:t>
      </w:r>
      <w:r>
        <w:rPr>
          <w:b/>
          <w:bCs/>
        </w:rPr>
        <w:t xml:space="preserve">potential upside</w:t>
      </w:r>
      <w:r>
        <w:t xml:space="preserve">.</w:t>
      </w:r>
      <w:r>
        <w:t xml:space="preserve"> </w:t>
      </w:r>
      <w:r>
        <w:rPr>
          <w:b/>
          <w:bCs/>
        </w:rPr>
        <w:t xml:space="preserve">A raised Boyd/cooling outlook would be a positive catalyst.</w:t>
      </w:r>
    </w:p>
    <w:p>
      <w:pPr>
        <w:pStyle w:val="BodyText"/>
      </w:pPr>
      <w:r>
        <w:t xml:space="preserve">Watch the balance sheet cost of this M&amp;A: long-term debt jumped to</w:t>
      </w:r>
      <w:r>
        <w:t xml:space="preserve"> </w:t>
      </w:r>
      <w:r>
        <w:rPr>
          <w:b/>
          <w:bCs/>
        </w:rPr>
        <w:t xml:space="preserve">$18.5B from $8.8B</w:t>
      </w:r>
      <w:r>
        <w:t xml:space="preserve"> </w:t>
      </w:r>
      <w:r>
        <w:t xml:space="preserve">and net interest expense more than tripled y/y (to $106M in Q1). Boyd is dilutive to EPS in 2026 (absorbed within guidance). Integration execution and synergy delivery are now core to the story — and are a stated top priority for the new CFO.</w:t>
      </w:r>
    </w:p>
    <w:p>
      <w:r>
        <w:pict>
          <v:rect style="width:0;height:1.5pt" o:hralign="center" o:hrstd="t" o:hr="t"/>
        </w:pict>
      </w:r>
    </w:p>
    <w:bookmarkEnd w:id="14"/>
    <w:bookmarkStart w:id="15" w:name="other-items-on-the-scorecard"/>
    <w:p>
      <w:pPr>
        <w:pStyle w:val="Heading2"/>
      </w:pPr>
      <w:r>
        <w:t xml:space="preserve">Other Items on the Scorecard</w:t>
      </w:r>
    </w:p>
    <w:p>
      <w:pPr>
        <w:pStyle w:val="Compact"/>
        <w:numPr>
          <w:ilvl w:val="0"/>
          <w:numId w:val="1006"/>
        </w:numPr>
      </w:pPr>
      <w:r>
        <w:rPr>
          <w:b/>
          <w:bCs/>
        </w:rPr>
        <w:t xml:space="preserve">Aerospace</w:t>
      </w:r>
      <w:r>
        <w:t xml:space="preserve"> </w:t>
      </w:r>
      <w:r>
        <w:t xml:space="preserve">has been a quiet outperformer — Q1 record 26.7% margin (+360bps, though ~80bps of that ex a one-time facility gain), strong defense aftermarket, +28% backlog. Watch for continued margin strength plus Ultra PCS contribution.</w:t>
      </w:r>
    </w:p>
    <w:p>
      <w:pPr>
        <w:pStyle w:val="Compact"/>
        <w:numPr>
          <w:ilvl w:val="0"/>
          <w:numId w:val="1006"/>
        </w:numPr>
      </w:pPr>
      <w:r>
        <w:rPr>
          <w:b/>
          <w:bCs/>
        </w:rPr>
        <w:t xml:space="preserve">Electrical Global</w:t>
      </w:r>
      <w:r>
        <w:t xml:space="preserve"> </w:t>
      </w:r>
      <w:r>
        <w:t xml:space="preserve">— Q1 organic +9%, margin 19.2% (+60bps); strong data-center, resi recovery in EMEA. Now also houses Boyd.</w:t>
      </w:r>
    </w:p>
    <w:p>
      <w:pPr>
        <w:pStyle w:val="Compact"/>
        <w:numPr>
          <w:ilvl w:val="0"/>
          <w:numId w:val="1006"/>
        </w:numPr>
      </w:pPr>
      <w:r>
        <w:rPr>
          <w:b/>
          <w:bCs/>
        </w:rPr>
        <w:t xml:space="preserve">Mobility</w:t>
      </w:r>
      <w:r>
        <w:t xml:space="preserve"> </w:t>
      </w:r>
      <w:r>
        <w:t xml:space="preserve">— the laggard (organic −6% in Q1, partly a deliberate exit of low-margin NA light-vehicle business). Newly consolidated (legacy Vehicle + eMobility) and slated to be</w:t>
      </w:r>
      <w:r>
        <w:t xml:space="preserve"> </w:t>
      </w:r>
      <w:r>
        <w:rPr>
          <w:b/>
          <w:bCs/>
        </w:rPr>
        <w:t xml:space="preserve">spun off into a standalone public company by ~Q1 2027</w:t>
      </w:r>
      <w:r>
        <w:t xml:space="preserve">. Watch for spin timeline/Form 10 progress.</w:t>
      </w:r>
    </w:p>
    <w:p>
      <w:pPr>
        <w:pStyle w:val="Compact"/>
        <w:numPr>
          <w:ilvl w:val="0"/>
          <w:numId w:val="1006"/>
        </w:numPr>
      </w:pPr>
      <w:r>
        <w:rPr>
          <w:b/>
          <w:bCs/>
        </w:rPr>
        <w:t xml:space="preserve">Tariffs</w:t>
      </w:r>
      <w:r>
        <w:t xml:space="preserve"> </w:t>
      </w:r>
      <w:r>
        <w:t xml:space="preserve">— management characterized the impact as immaterial and included in guidance; worth confirming amid an uncertain trade/geopolitical backdrop (note the Middle East / oil-price flare-up in late July).</w:t>
      </w:r>
    </w:p>
    <w:p>
      <w:pPr>
        <w:pStyle w:val="Compact"/>
        <w:numPr>
          <w:ilvl w:val="0"/>
          <w:numId w:val="1006"/>
        </w:numPr>
      </w:pPr>
      <w:r>
        <w:rPr>
          <w:b/>
          <w:bCs/>
        </w:rPr>
        <w:t xml:space="preserve">New CFO Dave Foster</w:t>
      </w:r>
      <w:r>
        <w:t xml:space="preserve"> </w:t>
      </w:r>
      <w:r>
        <w:t xml:space="preserve">(returned March 2026) — first couple of quarters; investors will weigh his credibility on the margin-recovery bridge.</w:t>
      </w:r>
    </w:p>
    <w:p>
      <w:r>
        <w:pict>
          <v:rect style="width:0;height:1.5pt" o:hralign="center" o:hrstd="t" o:hr="t"/>
        </w:pict>
      </w:r>
    </w:p>
    <w:bookmarkEnd w:id="15"/>
    <w:bookmarkStart w:id="16" w:name="stock-context-going-in"/>
    <w:p>
      <w:pPr>
        <w:pStyle w:val="Heading2"/>
      </w:pPr>
      <w:r>
        <w:t xml:space="preserve">Stock Context Going In</w:t>
      </w:r>
    </w:p>
    <w:p>
      <w:pPr>
        <w:pStyle w:val="Compact"/>
        <w:numPr>
          <w:ilvl w:val="0"/>
          <w:numId w:val="1007"/>
        </w:numPr>
      </w:pPr>
      <w:r>
        <w:t xml:space="preserve">ETN is up roughly</w:t>
      </w:r>
      <w:r>
        <w:t xml:space="preserve"> </w:t>
      </w:r>
      <w:r>
        <w:rPr>
          <w:b/>
          <w:bCs/>
        </w:rPr>
        <w:t xml:space="preserve">~18% YTD</w:t>
      </w:r>
      <w:r>
        <w:t xml:space="preserve"> </w:t>
      </w:r>
      <w:r>
        <w:t xml:space="preserve">(from ~</w:t>
      </w:r>
      <m:oMath>
        <m:r>
          <m:t>327</m:t>
        </m:r>
        <m:r>
          <m:t>a</m:t>
        </m:r>
        <m:r>
          <m:t>t</m:t>
        </m:r>
        <m:r>
          <m:t>t</m:t>
        </m:r>
        <m:r>
          <m:t>h</m:t>
        </m:r>
        <m:r>
          <m:t>e</m:t>
        </m:r>
        <m:r>
          <m:t>s</m:t>
        </m:r>
        <m:r>
          <m:t>t</m:t>
        </m:r>
        <m:r>
          <m:t>a</m:t>
        </m:r>
        <m:r>
          <m:t>r</m:t>
        </m:r>
        <m:r>
          <m:t>t</m:t>
        </m:r>
        <m:r>
          <m:t>o</m:t>
        </m:r>
        <m:r>
          <m:t>f</m:t>
        </m:r>
        <m:r>
          <m:t>2026</m:t>
        </m:r>
        <m:r>
          <m:t>t</m:t>
        </m:r>
        <m:r>
          <m:t>o</m:t>
        </m:r>
        <m:r>
          <m:t> </m:t>
        </m:r>
      </m:oMath>
      <w:r>
        <w:t xml:space="preserve">387 on July 30), but has</w:t>
      </w:r>
      <w:r>
        <w:t xml:space="preserve"> </w:t>
      </w:r>
      <w:r>
        <w:rPr>
          <w:b/>
          <w:bCs/>
        </w:rPr>
        <w:t xml:space="preserve">pulled back from a late-June high near ~$436</w:t>
      </w:r>
      <w:r>
        <w:t xml:space="preserve">.</w:t>
      </w:r>
    </w:p>
    <w:p>
      <w:pPr>
        <w:pStyle w:val="Compact"/>
        <w:numPr>
          <w:ilvl w:val="0"/>
          <w:numId w:val="1007"/>
        </w:numPr>
      </w:pPr>
      <w:r>
        <w:t xml:space="preserve">The Q1 print (May 5) drew a muted-to-negative one-day reaction (stock slipped from ~</w:t>
      </w:r>
      <m:oMath>
        <m:r>
          <m:t>422</m:t>
        </m:r>
        <m:r>
          <m:t>t</m:t>
        </m:r>
        <m:r>
          <m:t>o</m:t>
        </m:r>
        <m:r>
          <m:t> </m:t>
        </m:r>
      </m:oMath>
      <w:r>
        <w:t xml:space="preserve">411) despite the EPS beat — the market has repeatedly rewarded orders/demand but fixated on the Americas margin question.</w:t>
      </w:r>
    </w:p>
    <w:p>
      <w:pPr>
        <w:pStyle w:val="Compact"/>
        <w:numPr>
          <w:ilvl w:val="0"/>
          <w:numId w:val="1007"/>
        </w:numPr>
      </w:pPr>
      <w:r>
        <w:t xml:space="preserve">With the stock ~11% off its highs and having just wobbled on the Vertiv read-through, expectations are elevated but not euphoric. The bar:</w:t>
      </w:r>
      <w:r>
        <w:t xml:space="preserve"> </w:t>
      </w:r>
      <w:r>
        <w:rPr>
          <w:b/>
          <w:bCs/>
        </w:rPr>
        <w:t xml:space="preserve">beat-and-hold on EPS is likely not enough — investors want the Electrical Americas margin inflection to show up in the numbers and a reaffirmed/raised full-year that flows through any beat.</w:t>
      </w:r>
    </w:p>
    <w:p>
      <w:r>
        <w:pict>
          <v:rect style="width:0;height:1.5pt" o:hralign="center" o:hrstd="t" o:hr="t"/>
        </w:pict>
      </w:r>
    </w:p>
    <w:bookmarkEnd w:id="16"/>
    <w:bookmarkStart w:id="17" w:name="bull-vs-bear-into-the-print"/>
    <w:p>
      <w:pPr>
        <w:pStyle w:val="Heading2"/>
      </w:pPr>
      <w:r>
        <w:t xml:space="preserve">Bull vs. Bear Into the Print</w:t>
      </w:r>
    </w:p>
    <w:p>
      <w:pPr>
        <w:pStyle w:val="FirstParagraph"/>
      </w:pPr>
      <w:r>
        <w:rPr>
          <w:b/>
          <w:bCs/>
        </w:rPr>
        <w:t xml:space="preserve">Bull case</w:t>
      </w:r>
    </w:p>
    <w:p>
      <w:pPr>
        <w:pStyle w:val="Compact"/>
        <w:numPr>
          <w:ilvl w:val="0"/>
          <w:numId w:val="1008"/>
        </w:numPr>
      </w:pPr>
      <w:r>
        <w:t xml:space="preserve">Order/backlog momentum + book-to-bill 1.2 gives multi-year visibility; data-center demand still accelerating.</w:t>
      </w:r>
    </w:p>
    <w:p>
      <w:pPr>
        <w:pStyle w:val="Compact"/>
        <w:numPr>
          <w:ilvl w:val="0"/>
          <w:numId w:val="1008"/>
        </w:numPr>
      </w:pPr>
      <w:r>
        <w:t xml:space="preserve">Q1 was explicitly the trough; April 1 pricing + volume leverage should drive sequential margin gains.</w:t>
      </w:r>
    </w:p>
    <w:p>
      <w:pPr>
        <w:pStyle w:val="Compact"/>
        <w:numPr>
          <w:ilvl w:val="0"/>
          <w:numId w:val="1008"/>
        </w:numPr>
      </w:pPr>
      <w:r>
        <w:t xml:space="preserve">Boyd running hot with acknowledged upside to a conservative guide.</w:t>
      </w:r>
    </w:p>
    <w:p>
      <w:pPr>
        <w:pStyle w:val="Compact"/>
        <w:numPr>
          <w:ilvl w:val="0"/>
          <w:numId w:val="1008"/>
        </w:numPr>
      </w:pPr>
      <w:r>
        <w:t xml:space="preserve">Aerospace margins at records; Global steady.</w:t>
      </w:r>
    </w:p>
    <w:p>
      <w:pPr>
        <w:pStyle w:val="FirstParagraph"/>
      </w:pPr>
      <w:r>
        <w:rPr>
          <w:b/>
          <w:bCs/>
        </w:rPr>
        <w:t xml:space="preserve">Bear case</w:t>
      </w:r>
    </w:p>
    <w:p>
      <w:pPr>
        <w:pStyle w:val="Compact"/>
        <w:numPr>
          <w:ilvl w:val="0"/>
          <w:numId w:val="1009"/>
        </w:numPr>
      </w:pPr>
      <w:r>
        <w:t xml:space="preserve">Electrical Americas margin miss could persist if price/cost or ramp inefficiencies linger — "temporary" is unproven.</w:t>
      </w:r>
    </w:p>
    <w:p>
      <w:pPr>
        <w:pStyle w:val="Compact"/>
        <w:numPr>
          <w:ilvl w:val="0"/>
          <w:numId w:val="1009"/>
        </w:numPr>
      </w:pPr>
      <w:r>
        <w:t xml:space="preserve">Vertiv's timing-driven shortfall raises the specter of data-center project lumpiness; ETN's ~240% order comps make deceleration optics tough.</w:t>
      </w:r>
    </w:p>
    <w:p>
      <w:pPr>
        <w:pStyle w:val="Compact"/>
        <w:numPr>
          <w:ilvl w:val="0"/>
          <w:numId w:val="1009"/>
        </w:numPr>
      </w:pPr>
      <w:r>
        <w:t xml:space="preserve">~$11B M&amp;A has levered the balance sheet, tripled interest expense, and adds integration/dilution risk.</w:t>
      </w:r>
    </w:p>
    <w:p>
      <w:pPr>
        <w:pStyle w:val="Compact"/>
        <w:numPr>
          <w:ilvl w:val="0"/>
          <w:numId w:val="1009"/>
        </w:numPr>
      </w:pPr>
      <w:r>
        <w:t xml:space="preserve">Premium valuation leaves little room for disappointment on either growth</w:t>
      </w:r>
      <w:r>
        <w:t xml:space="preserve"> </w:t>
      </w:r>
      <w:r>
        <w:rPr>
          <w:i/>
          <w:iCs/>
        </w:rPr>
        <w:t xml:space="preserve">or</w:t>
      </w:r>
      <w:r>
        <w:t xml:space="preserve"> </w:t>
      </w:r>
      <w:r>
        <w:t xml:space="preserve">the margin walk.</w:t>
      </w:r>
    </w:p>
    <w:p>
      <w:r>
        <w:pict>
          <v:rect style="width:0;height:1.5pt" o:hralign="center" o:hrstd="t" o:hr="t"/>
        </w:pict>
      </w:r>
    </w:p>
    <w:bookmarkEnd w:id="17"/>
    <w:bookmarkStart w:id="18" w:name="what-would-move-the-stock"/>
    <w:p>
      <w:pPr>
        <w:pStyle w:val="Heading2"/>
      </w:pPr>
      <w:r>
        <w:t xml:space="preserve">What Would Move the Stock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Positive</w:t>
            </w:r>
          </w:p>
        </w:tc>
        <w:tc>
          <w:tcPr/>
          <w:p>
            <w:pPr>
              <w:pStyle w:val="Compact"/>
            </w:pPr>
            <w:r>
              <w:t xml:space="preserve">Negative</w:t>
            </w:r>
          </w:p>
        </w:tc>
      </w:tr>
      <w:tr>
        <w:tc>
          <w:tcPr/>
          <w:p>
            <w:pPr>
              <w:pStyle w:val="Compact"/>
            </w:pPr>
            <w:r>
              <w:t xml:space="preserve">Electrical Americas margin up ≥150bps q/q with clear price/cost improvement</w:t>
            </w:r>
          </w:p>
        </w:tc>
        <w:tc>
          <w:tcPr/>
          <w:p>
            <w:pPr>
              <w:pStyle w:val="Compact"/>
            </w:pPr>
            <w:r>
              <w:t xml:space="preserve">EA margin flat/down; "temporary" headwinds extend</w:t>
            </w:r>
          </w:p>
        </w:tc>
      </w:tr>
      <w:tr>
        <w:tc>
          <w:tcPr/>
          <w:p>
            <w:pPr>
              <w:pStyle w:val="Compact"/>
            </w:pPr>
            <w:r>
              <w:t xml:space="preserve">Order growth / book-to-bill holds; data-center orders don't decelerate</w:t>
            </w:r>
          </w:p>
        </w:tc>
        <w:tc>
          <w:tcPr/>
          <w:p>
            <w:pPr>
              <w:pStyle w:val="Compact"/>
            </w:pPr>
            <w:r>
              <w:t xml:space="preserve">Order deceleration or project-timing "push-outs" (Vertiv echo)</w:t>
            </w:r>
          </w:p>
        </w:tc>
      </w:tr>
      <w:tr>
        <w:tc>
          <w:tcPr/>
          <w:p>
            <w:pPr>
              <w:pStyle w:val="Compact"/>
            </w:pPr>
            <w:r>
              <w:t xml:space="preserve">Raised Boyd/cooling revenue outlook</w:t>
            </w:r>
          </w:p>
        </w:tc>
        <w:tc>
          <w:tcPr/>
          <w:p>
            <w:pPr>
              <w:pStyle w:val="Compact"/>
            </w:pPr>
            <w:r>
              <w:t xml:space="preserve">Boyd integration hiccups or unchanged conservative guide read as caution</w:t>
            </w:r>
          </w:p>
        </w:tc>
      </w:tr>
      <w:tr>
        <w:tc>
          <w:tcPr/>
          <w:p>
            <w:pPr>
              <w:pStyle w:val="Compact"/>
            </w:pPr>
            <w:r>
              <w:t xml:space="preserve">Raised or reaffirmed FY26 adj. EPS (≥$13.28 midpoint) with beat flow-through</w:t>
            </w:r>
          </w:p>
        </w:tc>
        <w:tc>
          <w:tcPr/>
          <w:p>
            <w:pPr>
              <w:pStyle w:val="Compact"/>
            </w:pPr>
            <w:r>
              <w:t xml:space="preserve">FY margin guide trimmed again</w:t>
            </w:r>
          </w:p>
        </w:tc>
      </w:tr>
      <w:tr>
        <w:tc>
          <w:tcPr/>
          <w:p>
            <w:pPr>
              <w:pStyle w:val="Compact"/>
            </w:pPr>
            <w:r>
              <w:t xml:space="preserve">Mobility spin on track for Q1 2027</w:t>
            </w:r>
          </w:p>
        </w:tc>
        <w:tc>
          <w:tcPr/>
          <w:p>
            <w:pPr>
              <w:pStyle w:val="Compact"/>
            </w:pPr>
            <w:r>
              <w:t xml:space="preserve">Spin delay / dis-synergy commentary</w:t>
            </w:r>
          </w:p>
        </w:tc>
      </w:tr>
    </w:tbl>
    <w:p>
      <w:pPr>
        <w:pStyle w:val="BodyText"/>
      </w:pPr>
      <w:r>
        <w:rPr>
          <w:i/>
          <w:iCs/>
        </w:rPr>
        <w:t xml:space="preserve">Note: Figures above are drawn from Eaton's Q1 2026 earnings release and call (reported May 5, 2026) and its Q2 2026 guidance issued at that time, plus market data and news through July 30, 2026. Actual Q2 consensus and reported results should be confirmed against the release on July 31.</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2026-07-31T00:31:49Z</dcterms:created>
  <dcterms:modified xsi:type="dcterms:W3CDTF">2026-07-31T00:31:49Z</dcterms:modified>
</cp:coreProperties>
</file>

<file path=docProps/custom.xml><?xml version="1.0" encoding="utf-8"?>
<Properties xmlns="http://schemas.openxmlformats.org/officeDocument/2006/custom-properties" xmlns:vt="http://schemas.openxmlformats.org/officeDocument/2006/docPropsVTypes"/>
</file>