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5" w:name="X06d22f1ccc57faef88b17f663babf401667860f"/>
    <w:p>
      <w:pPr>
        <w:pStyle w:val="Heading1"/>
      </w:pPr>
      <w:r>
        <w:t xml:space="preserve">Eaton Corporation (ETN) — Q2 2026 Earnings Preview</w:t>
      </w:r>
    </w:p>
    <w:p>
      <w:pPr>
        <w:pStyle w:val="FirstParagraph"/>
      </w:pPr>
      <w:r>
        <w:rPr>
          <w:b/>
          <w:bCs/>
        </w:rPr>
        <w:t xml:space="preserve">Report Date:</w:t>
      </w:r>
      <w:r>
        <w:t xml:space="preserve"> </w:t>
      </w:r>
      <w:r>
        <w:t xml:space="preserve">July 31, 2026 (before market open) |</w:t>
      </w:r>
      <w:r>
        <w:t xml:space="preserve"> </w:t>
      </w:r>
      <w:r>
        <w:rPr>
          <w:b/>
          <w:bCs/>
        </w:rPr>
        <w:t xml:space="preserve">Call:</w:t>
      </w:r>
      <w:r>
        <w:t xml:space="preserve"> </w:t>
      </w:r>
      <w:r>
        <w:t xml:space="preserve">2026Q2 Earnings Call</w:t>
      </w:r>
    </w:p>
    <w:p>
      <w:r>
        <w:pict>
          <v:rect style="width:0;height:1.5pt" o:hralign="center" o:hrstd="t" o:hr="t"/>
        </w:pict>
      </w:r>
    </w:p>
    <w:bookmarkStart w:id="9" w:name="setup-into-the-print"/>
    <w:p>
      <w:pPr>
        <w:pStyle w:val="Heading2"/>
      </w:pPr>
      <w:r>
        <w:t xml:space="preserve">Setup Into the Print</w:t>
      </w:r>
    </w:p>
    <w:p>
      <w:pPr>
        <w:pStyle w:val="FirstParagraph"/>
      </w:pPr>
      <w:r>
        <w:t xml:space="preserve">Eaton comes into tomorrow's report as one of the most closely watched "AI infrastructure" industrials, having ridden the data-center power buildout to a 52-week high near $437 earlier this year. Shares have since pulled back into the print — closing around $387 on 7/30, down from levels above $415 in late June/July — a move driven less by anything company-specific and more by a broader AI-capex sentiment wobble that hit data-center-levered names (Vertiv, GE Vernova, Caterpillar, etc.) alongside chip stocks, plus some pre-earnings profit-taking on a stock that had been trading at a rich multiple. Even after the pullback, ETN is still up roughly 18% year-to-date.</w:t>
      </w:r>
    </w:p>
    <w:p>
      <w:pPr>
        <w:pStyle w:val="BodyText"/>
      </w:pPr>
      <w:r>
        <w:t xml:space="preserve">Sell-side sentiment remains constructive: the stock carries a "Moderate Buy"-type consensus (16 strong buy / 2 moderate buy / 7 hold among 25 analysts) with an average price target near $463, implying double-digit upside from current levels. Wells Fargo, Citigroup, Jefferies and Bernstein have all reiterated bullish stances this year, with Citi's target as high as $464.</w:t>
      </w:r>
    </w:p>
    <w:bookmarkEnd w:id="9"/>
    <w:bookmarkStart w:id="10" w:name="what-happened-last-quarter-q1-2026-recap"/>
    <w:p>
      <w:pPr>
        <w:pStyle w:val="Heading2"/>
      </w:pPr>
      <w:r>
        <w:t xml:space="preserve">What Happened Last Quarter (Q1 2026 Recap)</w:t>
      </w:r>
    </w:p>
    <w:p>
      <w:pPr>
        <w:pStyle w:val="FirstParagraph"/>
      </w:pPr>
      <w:r>
        <w:t xml:space="preserve">Eaton delivered a record Q1: first quarter sales were up 17% with organic sales growth of 10%, above the high end of the 5-7% guidance range, and adjusted EPS of</w:t>
      </w:r>
      <w:r>
        <w:t xml:space="preserve"> </w:t>
      </w:r>
      <m:oMath>
        <m:r>
          <m:t>2.81</m:t>
        </m:r>
        <m:r>
          <m:t>b</m:t>
        </m:r>
        <m:r>
          <m:t>e</m:t>
        </m:r>
        <m:r>
          <m:t>a</m:t>
        </m:r>
        <m:r>
          <m:t>t</m:t>
        </m:r>
        <m:r>
          <m:t>c</m:t>
        </m:r>
        <m:r>
          <m:t>o</m:t>
        </m:r>
        <m:r>
          <m:t>n</m:t>
        </m:r>
        <m:r>
          <m:t>s</m:t>
        </m:r>
        <m:r>
          <m:t>e</m:t>
        </m:r>
        <m:r>
          <m:t>n</m:t>
        </m:r>
        <m:r>
          <m:t>s</m:t>
        </m:r>
        <m:r>
          <m:t>u</m:t>
        </m:r>
        <m:r>
          <m:t>s</m:t>
        </m:r>
        <m:r>
          <m:rPr>
            <m:sty m:val="p"/>
          </m:rPr>
          <m:t>(</m:t>
        </m:r>
        <m:r>
          <m:t> </m:t>
        </m:r>
      </m:oMath>
      <w:r>
        <w:t xml:space="preserve">2.73-2.74) by $0.07-0.08. The headline demand story remained extraordinary — twelve-month rolling average order acceleration in Electrical Americas, up 42%, driven by data center momentum, and Electrical Global and Aerospace order growth, up 13%, with total Electrical backlog up 48% year-over-year.</w:t>
      </w:r>
    </w:p>
    <w:p>
      <w:pPr>
        <w:pStyle w:val="BodyText"/>
      </w:pPr>
      <w:r>
        <w:t xml:space="preserve">Despite the beat, the stock actually</w:t>
      </w:r>
      <w:r>
        <w:t xml:space="preserve"> </w:t>
      </w:r>
      <w:r>
        <w:rPr>
          <w:b/>
          <w:bCs/>
        </w:rPr>
        <w:t xml:space="preserve">fell</w:t>
      </w:r>
      <w:r>
        <w:t xml:space="preserve"> </w:t>
      </w:r>
      <w:r>
        <w:t xml:space="preserve">on the day (down as much as 8%, settling around -3-6%) because guidance disappointed slightly relative to a lofty setup: Eaton guided Q2 adjusted EPS to</w:t>
      </w:r>
      <w:r>
        <w:t xml:space="preserve"> </w:t>
      </w:r>
      <m:oMath>
        <m:r>
          <m:t>3.00</m:t>
        </m:r>
        <m:r>
          <m:rPr>
            <m:sty m:val="p"/>
          </m:rPr>
          <m:t>−</m:t>
        </m:r>
      </m:oMath>
      <w:r>
        <w:t xml:space="preserve">3.10, below the roughly $3.12 the Street had modeled at the time, and segment margin guidance for the full year was trimmed 50bps (to 24.1-24.5%) due to Electrical Americas cost pressure. This is the key tension investors will be watching for again tomorrow — big top-line beats have not always translated into stock gains when margin trajectory disappoints even slightly.</w:t>
      </w:r>
    </w:p>
    <w:bookmarkEnd w:id="10"/>
    <w:bookmarkStart w:id="11" w:name="q2-2026-guidance-vs-current-consensus"/>
    <w:p>
      <w:pPr>
        <w:pStyle w:val="Heading2"/>
      </w:pPr>
      <w:r>
        <w:t xml:space="preserve">Q2 2026 Guidance vs. Current Consensus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pPr>
            <w:r>
              <w:t xml:space="preserve">Company Guidance (Q2)</w:t>
            </w:r>
          </w:p>
        </w:tc>
        <w:tc>
          <w:tcPr/>
          <w:p>
            <w:pPr>
              <w:pStyle w:val="Compact"/>
            </w:pPr>
            <w:r>
              <w:t xml:space="preserve">Street Consensus</w:t>
            </w:r>
          </w:p>
        </w:tc>
      </w:tr>
      <w:tr>
        <w:tc>
          <w:tcPr/>
          <w:p>
            <w:pPr>
              <w:pStyle w:val="Compact"/>
            </w:pPr>
            <w:r>
              <w:t xml:space="preserve">Organic growth</w:t>
            </w:r>
          </w:p>
        </w:tc>
        <w:tc>
          <w:tcPr/>
          <w:p>
            <w:pPr>
              <w:pStyle w:val="Compact"/>
            </w:pPr>
            <w:r>
              <w:t xml:space="preserve">9-11%</w:t>
            </w:r>
          </w:p>
        </w:tc>
        <w:tc>
          <w:tcPr/>
          <w:p>
            <w:pPr>
              <w:pStyle w:val="Compact"/>
            </w:pPr>
            <w:r>
              <w:t xml:space="preserve">~13.9-15.6% total sales growth (~$8.0-8.12B)</w:t>
            </w:r>
          </w:p>
        </w:tc>
      </w:tr>
      <w:tr>
        <w:tc>
          <w:tcPr/>
          <w:p>
            <w:pPr>
              <w:pStyle w:val="Compact"/>
            </w:pPr>
            <w:r>
              <w:t xml:space="preserve">Segment margin</w:t>
            </w:r>
          </w:p>
        </w:tc>
        <w:tc>
          <w:tcPr/>
          <w:p>
            <w:pPr>
              <w:pStyle w:val="Compact"/>
            </w:pPr>
            <w:r>
              <w:t xml:space="preserve">22.6-23.0%</w:t>
            </w:r>
          </w:p>
        </w:tc>
        <w:tc>
          <w:tcPr/>
          <w:p>
            <w:pPr>
              <w:pStyle w:val="Compact"/>
            </w:pPr>
            <w:r>
              <w:t xml:space="preserve">—</w:t>
            </w:r>
          </w:p>
        </w:tc>
      </w:tr>
      <w:tr>
        <w:tc>
          <w:tcPr/>
          <w:p>
            <w:pPr>
              <w:pStyle w:val="Compact"/>
            </w:pPr>
            <w:r>
              <w:t xml:space="preserve">Adjusted EPS</w:t>
            </w:r>
          </w:p>
        </w:tc>
        <w:tc>
          <w:tcPr/>
          <w:p>
            <w:pPr>
              <w:pStyle w:val="Compact"/>
            </w:pPr>
            <m:oMath>
              <m:r>
                <m:t>3.00</m:t>
              </m:r>
              <m:r>
                <m:rPr>
                  <m:sty m:val="p"/>
                </m:rPr>
                <m:t>−</m:t>
              </m:r>
            </m:oMath>
            <w:r>
              <w:t xml:space="preserve">3.10</w:t>
            </w:r>
          </w:p>
        </w:tc>
        <w:tc>
          <w:tcPr/>
          <w:p>
            <w:pPr>
              <w:pStyle w:val="Compact"/>
            </w:pPr>
            <w:r>
              <w:t xml:space="preserve">~</w:t>
            </w:r>
            <m:oMath>
              <m:r>
                <m:t>3.07</m:t>
              </m:r>
              <m:r>
                <m:rPr>
                  <m:sty m:val="p"/>
                </m:rPr>
                <m:t>−</m:t>
              </m:r>
            </m:oMath>
            <w:r>
              <w:t xml:space="preserve">3.08</w:t>
            </w:r>
          </w:p>
        </w:tc>
      </w:tr>
      <w:tr>
        <w:tc>
          <w:tcPr/>
          <w:p>
            <w:pPr>
              <w:pStyle w:val="Compact"/>
            </w:pPr>
            <w:r>
              <w:t xml:space="preserve">GAAP EPS</w:t>
            </w:r>
          </w:p>
        </w:tc>
        <w:tc>
          <w:tcPr/>
          <w:p>
            <w:pPr>
              <w:pStyle w:val="Compact"/>
            </w:pPr>
            <m:oMath>
              <m:r>
                <m:t>2.29</m:t>
              </m:r>
              <m:r>
                <m:rPr>
                  <m:sty m:val="p"/>
                </m:rPr>
                <m:t>−</m:t>
              </m:r>
            </m:oMath>
            <w:r>
              <w:t xml:space="preserve">2.39</w:t>
            </w:r>
          </w:p>
        </w:tc>
        <w:tc>
          <w:tcPr/>
          <w:p>
            <w:pPr>
              <w:pStyle w:val="Compact"/>
            </w:pPr>
            <w:r>
              <w:t xml:space="preserve">—</w:t>
            </w:r>
          </w:p>
        </w:tc>
      </w:tr>
    </w:tbl>
    <w:p>
      <w:pPr>
        <w:pStyle w:val="BodyText"/>
      </w:pPr>
      <w:r>
        <w:t xml:space="preserve">Consensus sits near the high end/slightly above the midpoint of Eaton's own EPS range, and revenue expectations of ~$8.0-8.1B imply high-teens total growth — a bar that will require continued outperformance versus the 9-11% organic guide (likely driven by contribution from the Boyd Thermal and Ultra PCS acquisitions layered on top of organic growth). Eaton has beaten Zacks consensus EPS in three of the last four quarters (met in the other), so the surprise history is favorable.</w:t>
      </w:r>
    </w:p>
    <w:bookmarkEnd w:id="11"/>
    <w:bookmarkStart w:id="12" w:name="key-themes-to-watch"/>
    <w:p>
      <w:pPr>
        <w:pStyle w:val="Heading2"/>
      </w:pPr>
      <w:r>
        <w:t xml:space="preserve">Key Themes to Watch</w:t>
      </w:r>
    </w:p>
    <w:p>
      <w:pPr>
        <w:pStyle w:val="FirstParagraph"/>
      </w:pPr>
      <w:r>
        <w:rPr>
          <w:b/>
          <w:bCs/>
        </w:rPr>
        <w:t xml:space="preserve">1. Electrical Americas margin recovery cadence.</w:t>
      </w:r>
      <w:r>
        <w:t xml:space="preserve"> </w:t>
      </w:r>
      <w:r>
        <w:t xml:space="preserve">This is the single most important storyline. Management attributed Q1's margin miss to temporary price-cost lag on commodity inflation and front-loaded capacity-ramp costs (12 of 24 planned factory expansions came online in Q1) needed to support 30%+ revenue growth. CFO Dave Foster guided to roughly</w:t>
      </w:r>
      <w:r>
        <w:t xml:space="preserve"> </w:t>
      </w:r>
      <w:r>
        <w:rPr>
          <w:b/>
          <w:bCs/>
        </w:rPr>
        <w:t xml:space="preserve">150bps of sequential margin improvement</w:t>
      </w:r>
      <w:r>
        <w:t xml:space="preserve"> </w:t>
      </w:r>
      <w:r>
        <w:t xml:space="preserve">in Electrical Americas from Q1 to Q2, with pricing actions (an April 1 increase) building through the year and management reiterating confidence in exiting 2026 with margins north of 30%, en route to the 32% target by 2030. Investors will want confirmation that this inflection is on track, not slipping.</w:t>
      </w:r>
    </w:p>
    <w:p>
      <w:pPr>
        <w:pStyle w:val="BodyText"/>
      </w:pPr>
      <w:r>
        <w:rPr>
          <w:b/>
          <w:bCs/>
        </w:rPr>
        <w:t xml:space="preserve">2. Data center demand durability amid a shakier macro backdrop.</w:t>
      </w:r>
      <w:r>
        <w:t xml:space="preserve"> </w:t>
      </w:r>
      <w:r>
        <w:t xml:space="preserve">Eaton's order book has been almost entirely a data-center story — Q1 saw data center orders in Electrical Americas up 240% and total data-center backlog estimated at 228 gigawatts (12 years of build at 2025 rates). The market's recent nervousness around hyperscaler capex discipline (following Alphabet's capex raise, Tesla's miss, and broader AI-infrastructure valuation resets) makes management's commentary on order momentum, negotiation pipeline, and mega-project starts a critical read for whether the demand backdrop is still accelerating or merely plateauing at a high level.</w:t>
      </w:r>
    </w:p>
    <w:p>
      <w:pPr>
        <w:pStyle w:val="BodyText"/>
      </w:pPr>
      <w:r>
        <w:rPr>
          <w:b/>
          <w:bCs/>
        </w:rPr>
        <w:t xml:space="preserve">3. Boyd Thermal integration and upside.</w:t>
      </w:r>
      <w:r>
        <w:t xml:space="preserve"> </w:t>
      </w:r>
      <w:r>
        <w:t xml:space="preserve">Closed March 12 for $9.55 billion, Boyd (liquid cooling) grew over 100% year-over-year in Q1 with backlog doubling in six months. Management had guided the cooling business to</w:t>
      </w:r>
      <w:r>
        <w:t xml:space="preserve"> </w:t>
      </w:r>
      <m:oMath>
        <m:r>
          <m:t>1.7</m:t>
        </m:r>
        <m:r>
          <m:t>B</m:t>
        </m:r>
        <m:r>
          <m:rPr>
            <m:sty m:val="p"/>
          </m:rPr>
          <m:t>+</m:t>
        </m:r>
        <m:r>
          <m:t>i</m:t>
        </m:r>
        <m:r>
          <m:t>n</m:t>
        </m:r>
        <m:r>
          <m:t>2026</m:t>
        </m:r>
        <m:r>
          <m:t>r</m:t>
        </m:r>
        <m:r>
          <m:t>e</m:t>
        </m:r>
        <m:r>
          <m:t>v</m:t>
        </m:r>
        <m:r>
          <m:t>e</m:t>
        </m:r>
        <m:r>
          <m:t>n</m:t>
        </m:r>
        <m:r>
          <m:t>u</m:t>
        </m:r>
        <m:r>
          <m:t>e</m:t>
        </m:r>
        <m:r>
          <m:rPr>
            <m:sty m:val="p"/>
          </m:rPr>
          <m:t>(</m:t>
        </m:r>
        <m:r>
          <m:t> </m:t>
        </m:r>
      </m:oMath>
      <w:r>
        <w:t xml:space="preserve">1.4B consolidated into Eaton) and signaled potential upside they weren't yet ready to bake into guidance after owning the business for only three weeks. A full quarter of ownership should provide a cleaner read on run-rate contribution (management had modeled ~</w:t>
      </w:r>
      <m:oMath>
        <m:r>
          <m:t>400</m:t>
        </m:r>
        <m:r>
          <m:t>M</m:t>
        </m:r>
        <m:r>
          <m:rPr>
            <m:sty m:val="p"/>
          </m:rPr>
          <m:t>/</m:t>
        </m:r>
        <m:r>
          <m:t>q</m:t>
        </m:r>
        <m:r>
          <m:t>u</m:t>
        </m:r>
        <m:r>
          <m:t>a</m:t>
        </m:r>
        <m:r>
          <m:t>r</m:t>
        </m:r>
        <m:r>
          <m:t>t</m:t>
        </m:r>
        <m:r>
          <m:t>e</m:t>
        </m:r>
        <m:r>
          <m:t>r</m:t>
        </m:r>
        <m:r>
          <m:t>i</m:t>
        </m:r>
        <m:r>
          <m:t>n</m:t>
        </m:r>
        <m:r>
          <m:t>Q</m:t>
        </m:r>
        <m:r>
          <m:t>1</m:t>
        </m:r>
        <m:r>
          <m:rPr>
            <m:sty m:val="p"/>
          </m:rPr>
          <m:t>/</m:t>
        </m:r>
        <m:r>
          <m:t>Q</m:t>
        </m:r>
        <m:r>
          <m:t>2</m:t>
        </m:r>
        <m:r>
          <m:rPr>
            <m:sty m:val="p"/>
          </m:rPr>
          <m:t>,</m:t>
        </m:r>
        <m:r>
          <m:t>s</m:t>
        </m:r>
        <m:r>
          <m:t>t</m:t>
        </m:r>
        <m:r>
          <m:t>e</m:t>
        </m:r>
        <m:r>
          <m:t>p</m:t>
        </m:r>
        <m:r>
          <m:t>p</m:t>
        </m:r>
        <m:r>
          <m:t>i</m:t>
        </m:r>
        <m:r>
          <m:t>n</m:t>
        </m:r>
        <m:r>
          <m:t>g</m:t>
        </m:r>
        <m:r>
          <m:t>t</m:t>
        </m:r>
        <m:r>
          <m:t>o</m:t>
        </m:r>
        <m:r>
          <m:t> </m:t>
        </m:r>
      </m:oMath>
      <w:r>
        <w:t xml:space="preserve">450M in H2) and integration progress alongside Ultra PCS (aerospace) and Fibrebond.</w:t>
      </w:r>
    </w:p>
    <w:p>
      <w:pPr>
        <w:pStyle w:val="BodyText"/>
      </w:pPr>
      <w:r>
        <w:rPr>
          <w:b/>
          <w:bCs/>
        </w:rPr>
        <w:t xml:space="preserve">4. Tariffs and input costs.</w:t>
      </w:r>
      <w:r>
        <w:t xml:space="preserve"> </w:t>
      </w:r>
      <w:r>
        <w:t xml:space="preserve">Q1 guidance characterized tariff impacts as immaterial, but with input-cost inflation already cited as a Q1 headwind, any incremental commentary on tariff exposure or commodity costs bears watching given the ongoing global trade-policy backdrop.</w:t>
      </w:r>
    </w:p>
    <w:p>
      <w:pPr>
        <w:pStyle w:val="BodyText"/>
      </w:pPr>
      <w:r>
        <w:rPr>
          <w:b/>
          <w:bCs/>
        </w:rPr>
        <w:t xml:space="preserve">5. Mobility spin-off progress.</w:t>
      </w:r>
      <w:r>
        <w:t xml:space="preserve"> </w:t>
      </w:r>
      <w:r>
        <w:t xml:space="preserve">Eaton remains on track to spin off its Mobility segment (Vehicle + eMobility) into an independent public company by Q1 2027. Updates on Form 10 filing progress, standalone financials, or capital structure could move the stock, especially as this simplifies the remaining "pure-play" electrification/aerospace/data-center story.</w:t>
      </w:r>
    </w:p>
    <w:p>
      <w:pPr>
        <w:pStyle w:val="BodyText"/>
      </w:pPr>
      <w:r>
        <w:rPr>
          <w:b/>
          <w:bCs/>
        </w:rPr>
        <w:t xml:space="preserve">6. Aerospace and Electrical Global — the quieter beats.</w:t>
      </w:r>
      <w:r>
        <w:t xml:space="preserve"> </w:t>
      </w:r>
      <w:r>
        <w:t xml:space="preserve">Aerospace posted record margins (26.7%, +360bps) in Q1 aided by a one-time gain but still up 80bps core, with strong defense aftermarket and Ultra PCS contribution. Electrical Global also outperformed with 21% total growth and margin expansion. Continued strength here would reinforce that Eaton's growth story is broader than just US data centers.</w:t>
      </w:r>
    </w:p>
    <w:bookmarkEnd w:id="12"/>
    <w:bookmarkStart w:id="13" w:name="valuation-lens"/>
    <w:p>
      <w:pPr>
        <w:pStyle w:val="Heading2"/>
      </w:pPr>
      <w:r>
        <w:t xml:space="preserve">Valuation Lens</w:t>
      </w:r>
    </w:p>
    <w:p>
      <w:pPr>
        <w:pStyle w:val="FirstParagraph"/>
      </w:pPr>
      <w:r>
        <w:t xml:space="preserve">At ~$387, ETN trades at a premium multiple versus history — one recent note flagged the stock trading at roughly 26x estimated FY2027 earnings, a level cited as a reason some model portfolios trimmed exposure ahead of this print. That leaves relatively little room for a "good but not great" quarter, similar to the dynamic that hit the stock after the Q1 report despite a clear beat. Full-year 2026 consensus EPS sits around $13.30-13.35 versus company guidance of</w:t>
      </w:r>
      <w:r>
        <w:t xml:space="preserve"> </w:t>
      </w:r>
      <m:oMath>
        <m:r>
          <m:t>13.05</m:t>
        </m:r>
        <m:r>
          <m:rPr>
            <m:sty m:val="p"/>
          </m:rPr>
          <m:t>−</m:t>
        </m:r>
      </m:oMath>
      <w:r>
        <w:t xml:space="preserve">13.50, and FY2027 consensus is already near $15.20-15.71, underscoring how much forward growth is priced in.</w:t>
      </w:r>
    </w:p>
    <w:bookmarkEnd w:id="13"/>
    <w:bookmarkStart w:id="14" w:name="bottom-line"/>
    <w:p>
      <w:pPr>
        <w:pStyle w:val="Heading2"/>
      </w:pPr>
      <w:r>
        <w:t xml:space="preserve">Bottom Line</w:t>
      </w:r>
    </w:p>
    <w:p>
      <w:pPr>
        <w:pStyle w:val="FirstParagraph"/>
      </w:pPr>
      <w:r>
        <w:t xml:space="preserve">Heading into Friday's report, the fundamental demand picture at Eaton remains about as strong as it has been in years — record backlogs, accelerating orders, and a broadening AI/data-center power and cooling opportunity reinforced by the Boyd Thermal and Ultra PCS deals. The swing factor for the stock reaction is less likely to be the top line (which has consistently beaten) and more likely to be: (1) whether Electrical Americas margins show the promised sequential improvement, (2) whether management reaffirms or raises full-year guidance given the strong start to the year, and (3) commentary on data-center order momentum given the market's newfound skepticism about hyperscaler capex sustainability. Given the stock's rich valuation and recent volatility tied to AI-capex sentiment, even a solid quarter may need to be accompanied by upbeat forward commentary to drive a positive stock reaction.</w:t>
      </w:r>
    </w:p>
    <w:bookmarkEnd w:id="14"/>
    <w:bookmarkEnd w:id="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2026-07-31T00:37:25Z</dcterms:created>
  <dcterms:modified xsi:type="dcterms:W3CDTF">2026-07-31T00:37:25Z</dcterms:modified>
</cp:coreProperties>
</file>

<file path=docProps/custom.xml><?xml version="1.0" encoding="utf-8"?>
<Properties xmlns="http://schemas.openxmlformats.org/officeDocument/2006/custom-properties" xmlns:vt="http://schemas.openxmlformats.org/officeDocument/2006/docPropsVTypes"/>
</file>