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eaton-etn-2026-q2-earnings-preview"/>
    <w:p>
      <w:pPr>
        <w:pStyle w:val="Heading1"/>
      </w:pPr>
      <w:r>
        <w:t xml:space="preserve">Eaton (ETN) 2026 Q2 Earnings Preview</w:t>
      </w:r>
    </w:p>
    <w:p>
      <w:pPr>
        <w:pStyle w:val="BlockText"/>
      </w:pPr>
      <w:r>
        <w:rPr>
          <w:b/>
          <w:bCs/>
        </w:rPr>
        <w:t xml:space="preserve">Timing note:</w:t>
      </w:r>
      <w:r>
        <w:t xml:space="preserve"> </w:t>
      </w:r>
      <w:r>
        <w:t xml:space="preserve">Eaton is scheduled to report</w:t>
      </w:r>
      <w:r>
        <w:t xml:space="preserve"> </w:t>
      </w:r>
      <w:r>
        <w:rPr>
          <w:b/>
          <w:bCs/>
        </w:rPr>
        <w:t xml:space="preserve">before the market opens on Friday, July 31, 2026</w:t>
      </w:r>
      <w:r>
        <w:t xml:space="preserve">, with its conference call at</w:t>
      </w:r>
      <w:r>
        <w:t xml:space="preserve"> </w:t>
      </w:r>
      <w:r>
        <w:rPr>
          <w:b/>
          <w:bCs/>
        </w:rPr>
        <w:t xml:space="preserve">11:00 a.m. ET</w:t>
      </w:r>
      <w:r>
        <w:t xml:space="preserve">. Given the stated current date, that is</w:t>
      </w:r>
      <w:r>
        <w:t xml:space="preserve"> </w:t>
      </w:r>
      <w:r>
        <w:rPr>
          <w:b/>
          <w:bCs/>
        </w:rPr>
        <w:t xml:space="preserve">today—not tomorrow</w:t>
      </w:r>
      <w:r>
        <w:t xml:space="preserve">.</w:t>
      </w:r>
    </w:p>
    <w:bookmarkStart w:id="9" w:name="investment-setup"/>
    <w:p>
      <w:pPr>
        <w:pStyle w:val="Heading2"/>
      </w:pPr>
      <w:r>
        <w:t xml:space="preserve">Investment setup</w:t>
      </w:r>
    </w:p>
    <w:p>
      <w:pPr>
        <w:pStyle w:val="FirstParagraph"/>
      </w:pPr>
      <w:r>
        <w:t xml:space="preserve">Eaton enters the quarter with one of the strongest demand backdrops in the industrial sector. AI data-center construction, utility investment, electrification, North American megaprojects, and aerospace demand are driving exceptional orders and backlog growth.</w:t>
      </w:r>
    </w:p>
    <w:p>
      <w:pPr>
        <w:pStyle w:val="BodyText"/>
      </w:pPr>
      <w:r>
        <w:t xml:space="preserve">The debate is no longer primarily about demand. It is about whether Eaton can turn that demand into revenue and recover margins while simultaneously:</w:t>
      </w:r>
    </w:p>
    <w:p>
      <w:pPr>
        <w:pStyle w:val="Compact"/>
        <w:numPr>
          <w:ilvl w:val="0"/>
          <w:numId w:val="1001"/>
        </w:numPr>
      </w:pPr>
      <w:r>
        <w:t xml:space="preserve">Ramping substantial new manufacturing capacity</w:t>
      </w:r>
    </w:p>
    <w:p>
      <w:pPr>
        <w:pStyle w:val="Compact"/>
        <w:numPr>
          <w:ilvl w:val="0"/>
          <w:numId w:val="1001"/>
        </w:numPr>
      </w:pPr>
      <w:r>
        <w:t xml:space="preserve">Integrating the $9.55 billion Boyd Thermal acquisition</w:t>
      </w:r>
    </w:p>
    <w:p>
      <w:pPr>
        <w:pStyle w:val="Compact"/>
        <w:numPr>
          <w:ilvl w:val="0"/>
          <w:numId w:val="1001"/>
        </w:numPr>
      </w:pPr>
      <w:r>
        <w:t xml:space="preserve">Integrating Ultra PCS</w:t>
      </w:r>
    </w:p>
    <w:p>
      <w:pPr>
        <w:pStyle w:val="Compact"/>
        <w:numPr>
          <w:ilvl w:val="0"/>
          <w:numId w:val="1001"/>
        </w:numPr>
      </w:pPr>
      <w:r>
        <w:t xml:space="preserve">Managing commodity and wage inflation</w:t>
      </w:r>
    </w:p>
    <w:p>
      <w:pPr>
        <w:pStyle w:val="Compact"/>
        <w:numPr>
          <w:ilvl w:val="0"/>
          <w:numId w:val="1001"/>
        </w:numPr>
      </w:pPr>
      <w:r>
        <w:t xml:space="preserve">Carrying materially higher acquisition-related debt</w:t>
      </w:r>
    </w:p>
    <w:p>
      <w:pPr>
        <w:pStyle w:val="Compact"/>
        <w:numPr>
          <w:ilvl w:val="0"/>
          <w:numId w:val="1001"/>
        </w:numPr>
      </w:pPr>
      <w:r>
        <w:t xml:space="preserve">Preparing to spin off Mobility by the end of 2027’s first quarter</w:t>
      </w:r>
    </w:p>
    <w:p>
      <w:pPr>
        <w:pStyle w:val="FirstParagraph"/>
      </w:pPr>
      <w:r>
        <w:t xml:space="preserve">Accordingly,</w:t>
      </w:r>
      <w:r>
        <w:t xml:space="preserve"> </w:t>
      </w:r>
      <w:r>
        <w:rPr>
          <w:b/>
          <w:bCs/>
        </w:rPr>
        <w:t xml:space="preserve">Electrical Americas margin execution will probably matter more than a modest headline earnings beat</w:t>
      </w:r>
      <w:r>
        <w:t xml:space="preserve">.</w:t>
      </w:r>
    </w:p>
    <w:p>
      <w:r>
        <w:pict>
          <v:rect style="width:0;height:1.5pt" o:hralign="center" o:hrstd="t" o:hr="t"/>
        </w:pict>
      </w:r>
    </w:p>
    <w:bookmarkEnd w:id="9"/>
    <w:bookmarkStart w:id="10" w:name="headline-expectations"/>
    <w:p>
      <w:pPr>
        <w:pStyle w:val="Heading2"/>
      </w:pPr>
      <w:r>
        <w:t xml:space="preserve">Headline expectations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reference point</w:t>
            </w:r>
          </w:p>
        </w:tc>
        <w:tc>
          <w:tcPr/>
          <w:p>
            <w:pPr>
              <w:pStyle w:val="Compact"/>
              <w:jc w:val="right"/>
            </w:pPr>
            <w:r>
              <w:t xml:space="preserve">Q2 2025</w:t>
            </w:r>
          </w:p>
        </w:tc>
      </w:tr>
      <w:tr>
        <w:tc>
          <w:tcPr/>
          <w:p>
            <w:pPr>
              <w:pStyle w:val="Compact"/>
            </w:pPr>
            <w:r>
              <w:t xml:space="preserve">Revenue</w:t>
            </w:r>
          </w:p>
        </w:tc>
        <w:tc>
          <w:tcPr/>
          <w:p>
            <w:pPr>
              <w:pStyle w:val="Compact"/>
              <w:jc w:val="right"/>
            </w:pPr>
            <w:r>
              <w:t xml:space="preserve">Street approximately</w:t>
            </w:r>
            <w:r>
              <w:t xml:space="preserve"> </w:t>
            </w:r>
            <w:r>
              <w:rPr>
                <w:b/>
                <w:bCs/>
              </w:rPr>
              <w:t xml:space="preserve">$8.12B</w:t>
            </w:r>
          </w:p>
        </w:tc>
        <w:tc>
          <w:tcPr/>
          <w:p>
            <w:pPr>
              <w:pStyle w:val="Compact"/>
              <w:jc w:val="right"/>
            </w:pPr>
            <w:r>
              <w:t xml:space="preserve">$7.03B</w:t>
            </w:r>
          </w:p>
        </w:tc>
      </w:tr>
      <w:tr>
        <w:tc>
          <w:tcPr/>
          <w:p>
            <w:pPr>
              <w:pStyle w:val="Compact"/>
            </w:pPr>
            <w:r>
              <w:t xml:space="preserve">Reported revenue growth</w:t>
            </w:r>
          </w:p>
        </w:tc>
        <w:tc>
          <w:tcPr/>
          <w:p>
            <w:pPr>
              <w:pStyle w:val="Compact"/>
              <w:jc w:val="right"/>
            </w:pPr>
            <w:r>
              <w:t xml:space="preserve">Approximately</w:t>
            </w:r>
            <w:r>
              <w:t xml:space="preserve"> </w:t>
            </w:r>
            <w:r>
              <w:rPr>
                <w:b/>
                <w:bCs/>
              </w:rPr>
              <w:t xml:space="preserve">15.5%</w:t>
            </w:r>
          </w:p>
        </w:tc>
        <w:tc>
          <w:tcPr/>
          <w:p>
            <w:pPr>
              <w:pStyle w:val="Compact"/>
              <w:jc w:val="right"/>
            </w:pPr>
            <w:r>
              <w:t xml:space="preserve">11%</w:t>
            </w:r>
          </w:p>
        </w:tc>
      </w:tr>
      <w:tr>
        <w:tc>
          <w:tcPr/>
          <w:p>
            <w:pPr>
              <w:pStyle w:val="Compact"/>
            </w:pPr>
            <w:r>
              <w:t xml:space="preserve">Organic growth</w:t>
            </w:r>
          </w:p>
        </w:tc>
        <w:tc>
          <w:tcPr/>
          <w:p>
            <w:pPr>
              <w:pStyle w:val="Compact"/>
              <w:jc w:val="right"/>
            </w:pPr>
            <w:r>
              <w:t xml:space="preserve">Company guide:</w:t>
            </w:r>
            <w:r>
              <w:t xml:space="preserve"> </w:t>
            </w:r>
            <w:r>
              <w:rPr>
                <w:b/>
                <w:bCs/>
              </w:rPr>
              <w:t xml:space="preserve">9%–11%</w:t>
            </w:r>
          </w:p>
        </w:tc>
        <w:tc>
          <w:tcPr/>
          <w:p>
            <w:pPr>
              <w:pStyle w:val="Compact"/>
              <w:jc w:val="right"/>
            </w:pPr>
            <w:r>
              <w:t xml:space="preserve">8%</w:t>
            </w:r>
          </w:p>
        </w:tc>
      </w:tr>
      <w:tr>
        <w:tc>
          <w:tcPr/>
          <w:p>
            <w:pPr>
              <w:pStyle w:val="Compact"/>
            </w:pPr>
            <w:r>
              <w:t xml:space="preserve">Adjusted EPS</w:t>
            </w:r>
          </w:p>
        </w:tc>
        <w:tc>
          <w:tcPr/>
          <w:p>
            <w:pPr>
              <w:pStyle w:val="Compact"/>
              <w:jc w:val="right"/>
            </w:pPr>
            <w:r>
              <w:t xml:space="preserve">Company guide:</w:t>
            </w:r>
            <w:r>
              <w:t xml:space="preserve"> </w:t>
            </w:r>
            <m:oMath>
              <m:r>
                <m:t>3.00</m:t>
              </m:r>
              <m:r>
                <m:rPr>
                  <m:sty m:val="p"/>
                </m:rPr>
                <m:t>–</m:t>
              </m:r>
            </m:oMath>
            <w:r>
              <w:rPr>
                <w:b/>
                <w:bCs/>
              </w:rPr>
              <w:t xml:space="preserve">3.10</w:t>
            </w:r>
          </w:p>
        </w:tc>
        <w:tc>
          <w:tcPr/>
          <w:p>
            <w:pPr>
              <w:pStyle w:val="Compact"/>
              <w:jc w:val="right"/>
            </w:pPr>
            <w:r>
              <w:t xml:space="preserve">$2.95</w:t>
            </w:r>
          </w:p>
        </w:tc>
      </w:tr>
      <w:tr>
        <w:tc>
          <w:tcPr/>
          <w:p>
            <w:pPr>
              <w:pStyle w:val="Compact"/>
            </w:pPr>
            <w:r>
              <w:t xml:space="preserve">Segment margin</w:t>
            </w:r>
          </w:p>
        </w:tc>
        <w:tc>
          <w:tcPr/>
          <w:p>
            <w:pPr>
              <w:pStyle w:val="Compact"/>
              <w:jc w:val="right"/>
            </w:pPr>
            <w:r>
              <w:t xml:space="preserve">Company guide:</w:t>
            </w:r>
            <w:r>
              <w:t xml:space="preserve"> </w:t>
            </w:r>
            <w:r>
              <w:rPr>
                <w:b/>
                <w:bCs/>
              </w:rPr>
              <w:t xml:space="preserve">22.6%–23.0%</w:t>
            </w:r>
          </w:p>
        </w:tc>
        <w:tc>
          <w:tcPr/>
          <w:p>
            <w:pPr>
              <w:pStyle w:val="Compact"/>
              <w:jc w:val="right"/>
            </w:pPr>
            <w:r>
              <w:t xml:space="preserve">23.9%</w:t>
            </w:r>
          </w:p>
        </w:tc>
      </w:tr>
    </w:tbl>
    <w:p>
      <w:pPr>
        <w:pStyle w:val="BodyText"/>
      </w:pPr>
      <w:r>
        <w:t xml:space="preserve">The projected revenue growth includes acquisitions and currency, so investors should distinguish between</w:t>
      </w:r>
      <w:r>
        <w:t xml:space="preserve"> </w:t>
      </w:r>
      <w:r>
        <w:rPr>
          <w:b/>
          <w:bCs/>
        </w:rPr>
        <w:t xml:space="preserve">organic demand</w:t>
      </w:r>
      <w:r>
        <w:t xml:space="preserve">,</w:t>
      </w:r>
      <w:r>
        <w:t xml:space="preserve"> </w:t>
      </w:r>
      <w:r>
        <w:rPr>
          <w:b/>
          <w:bCs/>
        </w:rPr>
        <w:t xml:space="preserve">Boyd and Ultra PCS contributions</w:t>
      </w:r>
      <w:r>
        <w:t xml:space="preserve">, and foreign exchange.</w:t>
      </w:r>
    </w:p>
    <w:p>
      <w:pPr>
        <w:pStyle w:val="BodyText"/>
      </w:pPr>
      <w:r>
        <w:t xml:space="preserve">A result near the midpoint—roughly $3.05 of adjusted EPS—would represent only about 3% year-over-year EPS growth despite much faster sales growth. That gap illustrates the quarter’s central issue:</w:t>
      </w:r>
      <w:r>
        <w:t xml:space="preserve"> </w:t>
      </w:r>
      <w:r>
        <w:rPr>
          <w:b/>
          <w:bCs/>
        </w:rPr>
        <w:t xml:space="preserve">strong volume is currently being offset by acquisition dilution, capacity-ramp costs, inflation, and higher interest expense</w:t>
      </w:r>
      <w:r>
        <w:t xml:space="preserve">.</w:t>
      </w:r>
    </w:p>
    <w:p>
      <w:r>
        <w:pict>
          <v:rect style="width:0;height:1.5pt" o:hralign="center" o:hrstd="t" o:hr="t"/>
        </w:pict>
      </w:r>
    </w:p>
    <w:bookmarkEnd w:id="10"/>
    <w:bookmarkStart w:id="13" w:name="Xce36b8b0ef170fa0115fceb19ccb81bc9c75894"/>
    <w:p>
      <w:pPr>
        <w:pStyle w:val="Heading2"/>
      </w:pPr>
      <w:r>
        <w:t xml:space="preserve">1. Electrical Americas: the most important number in the report</w:t>
      </w:r>
    </w:p>
    <w:p>
      <w:pPr>
        <w:pStyle w:val="FirstParagraph"/>
      </w:pPr>
      <w:r>
        <w:t xml:space="preserve">Electrical Americas delivered 14% organic growth in Q1, but its margin fell to</w:t>
      </w:r>
      <w:r>
        <w:t xml:space="preserve"> </w:t>
      </w:r>
      <w:r>
        <w:rPr>
          <w:b/>
          <w:bCs/>
        </w:rPr>
        <w:t xml:space="preserve">25.6% from 30.0%</w:t>
      </w:r>
      <w:r>
        <w:t xml:space="preserve">. Eaton attributed the decline primarily to:</w:t>
      </w:r>
    </w:p>
    <w:p>
      <w:pPr>
        <w:pStyle w:val="Compact"/>
        <w:numPr>
          <w:ilvl w:val="0"/>
          <w:numId w:val="1002"/>
        </w:numPr>
      </w:pPr>
      <w:r>
        <w:t xml:space="preserve">A 480-basis-point commodity inflation headwind</w:t>
      </w:r>
    </w:p>
    <w:p>
      <w:pPr>
        <w:pStyle w:val="Compact"/>
        <w:numPr>
          <w:ilvl w:val="0"/>
          <w:numId w:val="1002"/>
        </w:numPr>
      </w:pPr>
      <w:r>
        <w:t xml:space="preserve">A 100-basis-point cost impact from growth investments</w:t>
      </w:r>
    </w:p>
    <w:p>
      <w:pPr>
        <w:pStyle w:val="Compact"/>
        <w:numPr>
          <w:ilvl w:val="0"/>
          <w:numId w:val="1002"/>
        </w:numPr>
      </w:pPr>
      <w:r>
        <w:t xml:space="preserve">Start-up costs associated with new capacity</w:t>
      </w:r>
    </w:p>
    <w:p>
      <w:pPr>
        <w:pStyle w:val="Compact"/>
        <w:numPr>
          <w:ilvl w:val="0"/>
          <w:numId w:val="1002"/>
        </w:numPr>
      </w:pPr>
      <w:r>
        <w:t xml:space="preserve">Price-cost timing, with an April 1 price increase expected to offset inflation later in the year</w:t>
      </w:r>
    </w:p>
    <w:p>
      <w:pPr>
        <w:pStyle w:val="FirstParagraph"/>
      </w:pPr>
      <w:r>
        <w:t xml:space="preserve">Management indicated that Q2 Electrical Americas margin should improve approximately</w:t>
      </w:r>
      <w:r>
        <w:t xml:space="preserve"> </w:t>
      </w:r>
      <w:r>
        <w:rPr>
          <w:b/>
          <w:bCs/>
        </w:rPr>
        <w:t xml:space="preserve">150 basis points sequentially</w:t>
      </w:r>
      <w:r>
        <w:t xml:space="preserve">, implying a result around</w:t>
      </w:r>
      <w:r>
        <w:t xml:space="preserve"> </w:t>
      </w:r>
      <w:r>
        <w:rPr>
          <w:b/>
          <w:bCs/>
        </w:rPr>
        <w:t xml:space="preserve">27.1%</w:t>
      </w:r>
      <w:r>
        <w:t xml:space="preserve">.</w:t>
      </w:r>
    </w:p>
    <w:p>
      <w:pPr>
        <w:pStyle w:val="BodyText"/>
      </w:pPr>
      <w:r>
        <w:t xml:space="preserve">That is the quarter’s clearest execution test.</w:t>
      </w:r>
    </w:p>
    <w:bookmarkStart w:id="11" w:name="what-would-be-encouraging"/>
    <w:p>
      <w:pPr>
        <w:pStyle w:val="Heading3"/>
      </w:pPr>
      <w:r>
        <w:t xml:space="preserve">What would be encouraging</w:t>
      </w:r>
    </w:p>
    <w:p>
      <w:pPr>
        <w:pStyle w:val="Compact"/>
        <w:numPr>
          <w:ilvl w:val="0"/>
          <w:numId w:val="1003"/>
        </w:numPr>
      </w:pPr>
      <w:r>
        <w:t xml:space="preserve">Electrical Americas margin of approximately 27% or better</w:t>
      </w:r>
    </w:p>
    <w:p>
      <w:pPr>
        <w:pStyle w:val="Compact"/>
        <w:numPr>
          <w:ilvl w:val="0"/>
          <w:numId w:val="1003"/>
        </w:numPr>
      </w:pPr>
      <w:r>
        <w:t xml:space="preserve">Evidence that April pricing is offsetting input-cost inflation</w:t>
      </w:r>
    </w:p>
    <w:p>
      <w:pPr>
        <w:pStyle w:val="Compact"/>
        <w:numPr>
          <w:ilvl w:val="0"/>
          <w:numId w:val="1003"/>
        </w:numPr>
      </w:pPr>
      <w:r>
        <w:t xml:space="preserve">Improved utilization at the 12 facilities currently ramping</w:t>
      </w:r>
    </w:p>
    <w:p>
      <w:pPr>
        <w:pStyle w:val="Compact"/>
        <w:numPr>
          <w:ilvl w:val="0"/>
          <w:numId w:val="1003"/>
        </w:numPr>
      </w:pPr>
      <w:r>
        <w:t xml:space="preserve">Continued confidence in exiting 2026 above a 30% margin</w:t>
      </w:r>
    </w:p>
    <w:p>
      <w:pPr>
        <w:pStyle w:val="Compact"/>
        <w:numPr>
          <w:ilvl w:val="0"/>
          <w:numId w:val="1003"/>
        </w:numPr>
      </w:pPr>
      <w:r>
        <w:t xml:space="preserve">No additional material capacity-ramp costs beyond the existing plan</w:t>
      </w:r>
    </w:p>
    <w:bookmarkEnd w:id="11"/>
    <w:bookmarkStart w:id="12" w:name="what-would-be-concerning"/>
    <w:p>
      <w:pPr>
        <w:pStyle w:val="Heading3"/>
      </w:pPr>
      <w:r>
        <w:t xml:space="preserve">What would be concerning</w:t>
      </w:r>
    </w:p>
    <w:p>
      <w:pPr>
        <w:pStyle w:val="Compact"/>
        <w:numPr>
          <w:ilvl w:val="0"/>
          <w:numId w:val="1004"/>
        </w:numPr>
      </w:pPr>
      <w:r>
        <w:t xml:space="preserve">Margin materially below 27%</w:t>
      </w:r>
    </w:p>
    <w:p>
      <w:pPr>
        <w:pStyle w:val="Compact"/>
        <w:numPr>
          <w:ilvl w:val="0"/>
          <w:numId w:val="1004"/>
        </w:numPr>
      </w:pPr>
      <w:r>
        <w:t xml:space="preserve">Another increase in estimated ramp-up costs</w:t>
      </w:r>
    </w:p>
    <w:p>
      <w:pPr>
        <w:pStyle w:val="Compact"/>
        <w:numPr>
          <w:ilvl w:val="0"/>
          <w:numId w:val="1004"/>
        </w:numPr>
      </w:pPr>
      <w:r>
        <w:t xml:space="preserve">A further delay in price-cost recovery</w:t>
      </w:r>
    </w:p>
    <w:p>
      <w:pPr>
        <w:pStyle w:val="Compact"/>
        <w:numPr>
          <w:ilvl w:val="0"/>
          <w:numId w:val="1004"/>
        </w:numPr>
      </w:pPr>
      <w:r>
        <w:t xml:space="preserve">Strong sales growth without meaningful incremental profit</w:t>
      </w:r>
    </w:p>
    <w:p>
      <w:pPr>
        <w:pStyle w:val="Compact"/>
        <w:numPr>
          <w:ilvl w:val="0"/>
          <w:numId w:val="1004"/>
        </w:numPr>
      </w:pPr>
      <w:r>
        <w:t xml:space="preserve">Softer language around the second-half margin inflection</w:t>
      </w:r>
    </w:p>
    <w:p>
      <w:pPr>
        <w:pStyle w:val="FirstParagraph"/>
      </w:pPr>
      <w:r>
        <w:t xml:space="preserve">Management has said the unit economics of the underlying products remain healthy. Q2 needs to provide evidence that Q1’s margin pressure was indeed temporary.</w:t>
      </w:r>
    </w:p>
    <w:p>
      <w:r>
        <w:pict>
          <v:rect style="width:0;height:1.5pt" o:hralign="center" o:hrstd="t" o:hr="t"/>
        </w:pict>
      </w:r>
    </w:p>
    <w:bookmarkEnd w:id="12"/>
    <w:bookmarkEnd w:id="13"/>
    <w:bookmarkStart w:id="14" w:name="Xd14df43ef5f61ab05ecc6b71fc40d3cb0045cdf"/>
    <w:p>
      <w:pPr>
        <w:pStyle w:val="Heading2"/>
      </w:pPr>
      <w:r>
        <w:t xml:space="preserve">2. Data-center demand: exceptional, but expectations are exceptional too</w:t>
      </w:r>
    </w:p>
    <w:p>
      <w:pPr>
        <w:pStyle w:val="FirstParagraph"/>
      </w:pPr>
      <w:r>
        <w:t xml:space="preserve">Eaton’s Q1 demand metrics were striking:</w:t>
      </w:r>
    </w:p>
    <w:p>
      <w:pPr>
        <w:pStyle w:val="Compact"/>
        <w:numPr>
          <w:ilvl w:val="0"/>
          <w:numId w:val="1005"/>
        </w:numPr>
      </w:pPr>
      <w:r>
        <w:t xml:space="preserve">Electrical Americas rolling 12-month orders rose</w:t>
      </w:r>
      <w:r>
        <w:t xml:space="preserve"> </w:t>
      </w:r>
      <w:r>
        <w:rPr>
          <w:b/>
          <w:bCs/>
        </w:rPr>
        <w:t xml:space="preserve">42%</w:t>
      </w:r>
    </w:p>
    <w:p>
      <w:pPr>
        <w:pStyle w:val="Compact"/>
        <w:numPr>
          <w:ilvl w:val="0"/>
          <w:numId w:val="1005"/>
        </w:numPr>
      </w:pPr>
      <w:r>
        <w:t xml:space="preserve">Electrical Americas data-center orders rose</w:t>
      </w:r>
      <w:r>
        <w:t xml:space="preserve"> </w:t>
      </w:r>
      <w:r>
        <w:rPr>
          <w:b/>
          <w:bCs/>
        </w:rPr>
        <w:t xml:space="preserve">240%</w:t>
      </w:r>
    </w:p>
    <w:p>
      <w:pPr>
        <w:pStyle w:val="Compact"/>
        <w:numPr>
          <w:ilvl w:val="0"/>
          <w:numId w:val="1005"/>
        </w:numPr>
      </w:pPr>
      <w:r>
        <w:t xml:space="preserve">Electrical Americas backlog increased</w:t>
      </w:r>
      <w:r>
        <w:t xml:space="preserve"> </w:t>
      </w:r>
      <w:r>
        <w:rPr>
          <w:b/>
          <w:bCs/>
        </w:rPr>
        <w:t xml:space="preserve">44%</w:t>
      </w:r>
    </w:p>
    <w:p>
      <w:pPr>
        <w:pStyle w:val="Compact"/>
        <w:numPr>
          <w:ilvl w:val="0"/>
          <w:numId w:val="1005"/>
        </w:numPr>
      </w:pPr>
      <w:r>
        <w:t xml:space="preserve">Electrical Global backlog increased</w:t>
      </w:r>
      <w:r>
        <w:t xml:space="preserve"> </w:t>
      </w:r>
      <w:r>
        <w:rPr>
          <w:b/>
          <w:bCs/>
        </w:rPr>
        <w:t xml:space="preserve">73%</w:t>
      </w:r>
    </w:p>
    <w:p>
      <w:pPr>
        <w:pStyle w:val="Compact"/>
        <w:numPr>
          <w:ilvl w:val="0"/>
          <w:numId w:val="1005"/>
        </w:numPr>
      </w:pPr>
      <w:r>
        <w:t xml:space="preserve">Total Electrical backlog increased</w:t>
      </w:r>
      <w:r>
        <w:t xml:space="preserve"> </w:t>
      </w:r>
      <w:r>
        <w:rPr>
          <w:b/>
          <w:bCs/>
        </w:rPr>
        <w:t xml:space="preserve">48%</w:t>
      </w:r>
    </w:p>
    <w:p>
      <w:pPr>
        <w:pStyle w:val="Compact"/>
        <w:numPr>
          <w:ilvl w:val="0"/>
          <w:numId w:val="1005"/>
        </w:numPr>
      </w:pPr>
      <w:r>
        <w:t xml:space="preserve">The combined Electrical book-to-bill ratio reached</w:t>
      </w:r>
      <w:r>
        <w:t xml:space="preserve"> </w:t>
      </w:r>
      <w:r>
        <w:rPr>
          <w:b/>
          <w:bCs/>
        </w:rPr>
        <w:t xml:space="preserve">1.2</w:t>
      </w:r>
    </w:p>
    <w:p>
      <w:pPr>
        <w:pStyle w:val="FirstParagraph"/>
      </w:pPr>
      <w:r>
        <w:t xml:space="preserve">Eaton also reported a sharply larger negotiation pipeline and continued growth in data-center capacity under construction and planned in the United States.</w:t>
      </w:r>
    </w:p>
    <w:p>
      <w:pPr>
        <w:pStyle w:val="BodyText"/>
      </w:pPr>
      <w:r>
        <w:t xml:space="preserve">The market will therefore look beyond whether demand is “strong.” Investors will want to know:</w:t>
      </w:r>
    </w:p>
    <w:p>
      <w:pPr>
        <w:pStyle w:val="Compact"/>
        <w:numPr>
          <w:ilvl w:val="0"/>
          <w:numId w:val="1006"/>
        </w:numPr>
      </w:pPr>
      <w:r>
        <w:rPr>
          <w:b/>
          <w:bCs/>
        </w:rPr>
        <w:t xml:space="preserve">Are orders still accelerating sequentially?</w:t>
      </w:r>
    </w:p>
    <w:p>
      <w:pPr>
        <w:pStyle w:val="Compact"/>
        <w:numPr>
          <w:ilvl w:val="0"/>
          <w:numId w:val="1006"/>
        </w:numPr>
      </w:pPr>
      <w:r>
        <w:t xml:space="preserve">Is backlog growth being driven by firm, executable projects?</w:t>
      </w:r>
    </w:p>
    <w:p>
      <w:pPr>
        <w:pStyle w:val="Compact"/>
        <w:numPr>
          <w:ilvl w:val="0"/>
          <w:numId w:val="1006"/>
        </w:numPr>
      </w:pPr>
      <w:r>
        <w:t xml:space="preserve">Are customers changing project timing because of power availability, permitting, or financing?</w:t>
      </w:r>
    </w:p>
    <w:p>
      <w:pPr>
        <w:pStyle w:val="Compact"/>
        <w:numPr>
          <w:ilvl w:val="0"/>
          <w:numId w:val="1006"/>
        </w:numPr>
      </w:pPr>
      <w:r>
        <w:t xml:space="preserve">Are lead times improving because of Eaton’s capacity additions, or because demand is normalizing?</w:t>
      </w:r>
    </w:p>
    <w:p>
      <w:pPr>
        <w:pStyle w:val="Compact"/>
        <w:numPr>
          <w:ilvl w:val="0"/>
          <w:numId w:val="1006"/>
        </w:numPr>
      </w:pPr>
      <w:r>
        <w:t xml:space="preserve">Is Eaton gaining share in medium-voltage equipment, switchgear, voltage regulators, capacitors, and modular power systems?</w:t>
      </w:r>
    </w:p>
    <w:p>
      <w:pPr>
        <w:pStyle w:val="FirstParagraph"/>
      </w:pPr>
      <w:r>
        <w:t xml:space="preserve">A slower order-growth percentage would not automatically be bearish given the difficult comparison. More important will be management’s commentary on cancellations, project pushouts, pricing, customer concentration, and the conversion of backlog into revenue.</w:t>
      </w:r>
    </w:p>
    <w:p>
      <w:r>
        <w:pict>
          <v:rect style="width:0;height:1.5pt" o:hralign="center" o:hrstd="t" o:hr="t"/>
        </w:pict>
      </w:r>
    </w:p>
    <w:bookmarkEnd w:id="14"/>
    <w:bookmarkStart w:id="16" w:name="Xc3a5603ea4d309f9e717352d14e6f6007b39b49"/>
    <w:p>
      <w:pPr>
        <w:pStyle w:val="Heading2"/>
      </w:pPr>
      <w:r>
        <w:t xml:space="preserve">3. Boyd Thermal’s first full quarter</w:t>
      </w:r>
    </w:p>
    <w:p>
      <w:pPr>
        <w:pStyle w:val="FirstParagraph"/>
      </w:pPr>
      <w:r>
        <w:t xml:space="preserve">Eaton closed the Boyd Thermal acquisition on March 12, meaning Q2 will be its first full quarter in Eaton’s results. Boyd significantly expands Eaton’s data-center offering from electrical infrastructure into liquid cooling and gives the company a broader “grid-to-chip” portfolio.</w:t>
      </w:r>
    </w:p>
    <w:p>
      <w:pPr>
        <w:pStyle w:val="BodyText"/>
      </w:pPr>
      <w:r>
        <w:t xml:space="preserve">Management’s prior expectations included:</w:t>
      </w:r>
    </w:p>
    <w:p>
      <w:pPr>
        <w:pStyle w:val="Compact"/>
        <w:numPr>
          <w:ilvl w:val="0"/>
          <w:numId w:val="1007"/>
        </w:numPr>
      </w:pPr>
      <w:r>
        <w:t xml:space="preserve">At least</w:t>
      </w:r>
      <w:r>
        <w:t xml:space="preserve"> </w:t>
      </w:r>
      <w:r>
        <w:rPr>
          <w:b/>
          <w:bCs/>
        </w:rPr>
        <w:t xml:space="preserve">$1.7 billion</w:t>
      </w:r>
      <w:r>
        <w:t xml:space="preserve"> </w:t>
      </w:r>
      <w:r>
        <w:t xml:space="preserve">of Boyd revenue in 2026</w:t>
      </w:r>
    </w:p>
    <w:p>
      <w:pPr>
        <w:pStyle w:val="Compact"/>
        <w:numPr>
          <w:ilvl w:val="0"/>
          <w:numId w:val="1007"/>
        </w:numPr>
      </w:pPr>
      <w:r>
        <w:t xml:space="preserve">Approximately</w:t>
      </w:r>
      <w:r>
        <w:t xml:space="preserve"> </w:t>
      </w:r>
      <w:r>
        <w:rPr>
          <w:b/>
          <w:bCs/>
        </w:rPr>
        <w:t xml:space="preserve">$1.4 billion</w:t>
      </w:r>
      <w:r>
        <w:t xml:space="preserve"> </w:t>
      </w:r>
      <w:r>
        <w:t xml:space="preserve">included in Eaton’s 2026 results</w:t>
      </w:r>
    </w:p>
    <w:p>
      <w:pPr>
        <w:pStyle w:val="Compact"/>
        <w:numPr>
          <w:ilvl w:val="0"/>
          <w:numId w:val="1007"/>
        </w:numPr>
      </w:pPr>
      <w:r>
        <w:t xml:space="preserve">A Q2 revenue assumption of roughly</w:t>
      </w:r>
      <w:r>
        <w:t xml:space="preserve"> </w:t>
      </w:r>
      <w:r>
        <w:rPr>
          <w:b/>
          <w:bCs/>
        </w:rPr>
        <w:t xml:space="preserve">$400 million</w:t>
      </w:r>
    </w:p>
    <w:p>
      <w:pPr>
        <w:pStyle w:val="Compact"/>
        <w:numPr>
          <w:ilvl w:val="0"/>
          <w:numId w:val="1007"/>
        </w:numPr>
      </w:pPr>
      <w:r>
        <w:t xml:space="preserve">Boyd backlog having doubled over six months</w:t>
      </w:r>
    </w:p>
    <w:p>
      <w:pPr>
        <w:pStyle w:val="Compact"/>
        <w:numPr>
          <w:ilvl w:val="0"/>
          <w:numId w:val="1007"/>
        </w:numPr>
      </w:pPr>
      <w:r>
        <w:t xml:space="preserve">Q1 Boyd revenue having more than doubled year over year before acquisition</w:t>
      </w:r>
    </w:p>
    <w:p>
      <w:pPr>
        <w:pStyle w:val="Compact"/>
        <w:numPr>
          <w:ilvl w:val="0"/>
          <w:numId w:val="1007"/>
        </w:numPr>
      </w:pPr>
      <w:r>
        <w:t xml:space="preserve">Temporarily elevated capital spending to support rapid growth</w:t>
      </w:r>
    </w:p>
    <w:bookmarkStart w:id="15" w:name="key-questions"/>
    <w:p>
      <w:pPr>
        <w:pStyle w:val="Heading3"/>
      </w:pPr>
      <w:r>
        <w:t xml:space="preserve">Key questions</w:t>
      </w:r>
    </w:p>
    <w:p>
      <w:pPr>
        <w:pStyle w:val="Compact"/>
        <w:numPr>
          <w:ilvl w:val="0"/>
          <w:numId w:val="1008"/>
        </w:numPr>
      </w:pPr>
      <w:r>
        <w:t xml:space="preserve">Is Boyd still tracking at or above $1.7 billion of 2026 revenue?</w:t>
      </w:r>
    </w:p>
    <w:p>
      <w:pPr>
        <w:pStyle w:val="Compact"/>
        <w:numPr>
          <w:ilvl w:val="0"/>
          <w:numId w:val="1008"/>
        </w:numPr>
      </w:pPr>
      <w:r>
        <w:t xml:space="preserve">Did Q2 revenue exceed the roughly $400 million planning level?</w:t>
      </w:r>
    </w:p>
    <w:p>
      <w:pPr>
        <w:pStyle w:val="Compact"/>
        <w:numPr>
          <w:ilvl w:val="0"/>
          <w:numId w:val="1008"/>
        </w:numPr>
      </w:pPr>
      <w:r>
        <w:t xml:space="preserve">Are margins tracking as expected?</w:t>
      </w:r>
    </w:p>
    <w:p>
      <w:pPr>
        <w:pStyle w:val="Compact"/>
        <w:numPr>
          <w:ilvl w:val="0"/>
          <w:numId w:val="1008"/>
        </w:numPr>
      </w:pPr>
      <w:r>
        <w:t xml:space="preserve">How much capital is required to support the backlog?</w:t>
      </w:r>
    </w:p>
    <w:p>
      <w:pPr>
        <w:pStyle w:val="Compact"/>
        <w:numPr>
          <w:ilvl w:val="0"/>
          <w:numId w:val="1008"/>
        </w:numPr>
      </w:pPr>
      <w:r>
        <w:t xml:space="preserve">Has Eaton retained key Boyd engineering and customer personnel?</w:t>
      </w:r>
    </w:p>
    <w:p>
      <w:pPr>
        <w:pStyle w:val="Compact"/>
        <w:numPr>
          <w:ilvl w:val="0"/>
          <w:numId w:val="1008"/>
        </w:numPr>
      </w:pPr>
      <w:r>
        <w:t xml:space="preserve">Is Eaton already generating cross-selling opportunities between cooling, power distribution, and modular infrastructure?</w:t>
      </w:r>
    </w:p>
    <w:p>
      <w:pPr>
        <w:pStyle w:val="Compact"/>
        <w:numPr>
          <w:ilvl w:val="0"/>
          <w:numId w:val="1008"/>
        </w:numPr>
      </w:pPr>
      <w:r>
        <w:t xml:space="preserve">Has competition in cold plates or cooling distribution units affected pricing?</w:t>
      </w:r>
    </w:p>
    <w:p>
      <w:pPr>
        <w:pStyle w:val="FirstParagraph"/>
      </w:pPr>
      <w:r>
        <w:t xml:space="preserve">A strong Boyd update would validate Eaton’s decision to pay $9.55 billion for the asset. A slowdown, integration issue, or unexpected margin dilution would be more consequential because the acquisition substantially increased Eaton’s debt and intangible-asset base.</w:t>
      </w:r>
    </w:p>
    <w:p>
      <w:r>
        <w:pict>
          <v:rect style="width:0;height:1.5pt" o:hralign="center" o:hrstd="t" o:hr="t"/>
        </w:pict>
      </w:r>
    </w:p>
    <w:bookmarkEnd w:id="15"/>
    <w:bookmarkEnd w:id="16"/>
    <w:bookmarkStart w:id="17" w:name="X996e54126ed1e3138e6b6b128547339823dac8f"/>
    <w:p>
      <w:pPr>
        <w:pStyle w:val="Heading2"/>
      </w:pPr>
      <w:r>
        <w:t xml:space="preserve">4. Aerospace should remain a source of strength</w:t>
      </w:r>
    </w:p>
    <w:p>
      <w:pPr>
        <w:pStyle w:val="FirstParagraph"/>
      </w:pPr>
      <w:r>
        <w:t xml:space="preserve">Aerospace entered Q2 with:</w:t>
      </w:r>
    </w:p>
    <w:p>
      <w:pPr>
        <w:pStyle w:val="Compact"/>
        <w:numPr>
          <w:ilvl w:val="0"/>
          <w:numId w:val="1009"/>
        </w:numPr>
      </w:pPr>
      <w:r>
        <w:t xml:space="preserve">Q1 organic growth of</w:t>
      </w:r>
      <w:r>
        <w:t xml:space="preserve"> </w:t>
      </w:r>
      <w:r>
        <w:rPr>
          <w:b/>
          <w:bCs/>
        </w:rPr>
        <w:t xml:space="preserve">9%</w:t>
      </w:r>
    </w:p>
    <w:p>
      <w:pPr>
        <w:pStyle w:val="Compact"/>
        <w:numPr>
          <w:ilvl w:val="0"/>
          <w:numId w:val="1009"/>
        </w:numPr>
      </w:pPr>
      <w:r>
        <w:t xml:space="preserve">Rolling 12-month orders up</w:t>
      </w:r>
      <w:r>
        <w:t xml:space="preserve"> </w:t>
      </w:r>
      <w:r>
        <w:rPr>
          <w:b/>
          <w:bCs/>
        </w:rPr>
        <w:t xml:space="preserve">13%</w:t>
      </w:r>
    </w:p>
    <w:p>
      <w:pPr>
        <w:pStyle w:val="Compact"/>
        <w:numPr>
          <w:ilvl w:val="0"/>
          <w:numId w:val="1009"/>
        </w:numPr>
      </w:pPr>
      <w:r>
        <w:t xml:space="preserve">Backlog up</w:t>
      </w:r>
      <w:r>
        <w:t xml:space="preserve"> </w:t>
      </w:r>
      <w:r>
        <w:rPr>
          <w:b/>
          <w:bCs/>
        </w:rPr>
        <w:t xml:space="preserve">28%</w:t>
      </w:r>
    </w:p>
    <w:p>
      <w:pPr>
        <w:pStyle w:val="Compact"/>
        <w:numPr>
          <w:ilvl w:val="0"/>
          <w:numId w:val="1009"/>
        </w:numPr>
      </w:pPr>
      <w:r>
        <w:t xml:space="preserve">A book-to-bill ratio of</w:t>
      </w:r>
      <w:r>
        <w:t xml:space="preserve"> </w:t>
      </w:r>
      <w:r>
        <w:rPr>
          <w:b/>
          <w:bCs/>
        </w:rPr>
        <w:t xml:space="preserve">1.1</w:t>
      </w:r>
    </w:p>
    <w:p>
      <w:pPr>
        <w:pStyle w:val="FirstParagraph"/>
      </w:pPr>
      <w:r>
        <w:t xml:space="preserve">Q1’s 26.7% Aerospace margin benefited from a one-time facility-sale gain worth approximately 280 basis points. Excluding that gain, the underlying margin was closer to 23.9%.</w:t>
      </w:r>
    </w:p>
    <w:p>
      <w:pPr>
        <w:pStyle w:val="BodyText"/>
      </w:pPr>
      <w:r>
        <w:t xml:space="preserve">Q2 investors should focus on:</w:t>
      </w:r>
    </w:p>
    <w:p>
      <w:pPr>
        <w:pStyle w:val="Compact"/>
        <w:numPr>
          <w:ilvl w:val="0"/>
          <w:numId w:val="1010"/>
        </w:numPr>
      </w:pPr>
      <w:r>
        <w:t xml:space="preserve">Commercial OEM production rates</w:t>
      </w:r>
    </w:p>
    <w:p>
      <w:pPr>
        <w:pStyle w:val="Compact"/>
        <w:numPr>
          <w:ilvl w:val="0"/>
          <w:numId w:val="1010"/>
        </w:numPr>
      </w:pPr>
      <w:r>
        <w:t xml:space="preserve">Commercial and defense aftermarket demand</w:t>
      </w:r>
    </w:p>
    <w:p>
      <w:pPr>
        <w:pStyle w:val="Compact"/>
        <w:numPr>
          <w:ilvl w:val="0"/>
          <w:numId w:val="1010"/>
        </w:numPr>
      </w:pPr>
      <w:r>
        <w:t xml:space="preserve">Supply-chain availability</w:t>
      </w:r>
    </w:p>
    <w:p>
      <w:pPr>
        <w:pStyle w:val="Compact"/>
        <w:numPr>
          <w:ilvl w:val="0"/>
          <w:numId w:val="1010"/>
        </w:numPr>
      </w:pPr>
      <w:r>
        <w:t xml:space="preserve">Underlying margin excluding one-time items</w:t>
      </w:r>
    </w:p>
    <w:p>
      <w:pPr>
        <w:pStyle w:val="Compact"/>
        <w:numPr>
          <w:ilvl w:val="0"/>
          <w:numId w:val="1010"/>
        </w:numPr>
      </w:pPr>
      <w:r>
        <w:t xml:space="preserve">Ultra PCS revenue and profit contribution</w:t>
      </w:r>
    </w:p>
    <w:p>
      <w:pPr>
        <w:pStyle w:val="Compact"/>
        <w:numPr>
          <w:ilvl w:val="0"/>
          <w:numId w:val="1010"/>
        </w:numPr>
      </w:pPr>
      <w:r>
        <w:t xml:space="preserve">The effect of wage and commodity inflation</w:t>
      </w:r>
    </w:p>
    <w:p>
      <w:pPr>
        <w:pStyle w:val="FirstParagraph"/>
      </w:pPr>
      <w:r>
        <w:t xml:space="preserve">Aerospace does not need to repeat Q1’s reported margin to have a good quarter, but its underlying profitability should demonstrate continued operating leverage.</w:t>
      </w:r>
    </w:p>
    <w:p>
      <w:r>
        <w:pict>
          <v:rect style="width:0;height:1.5pt" o:hralign="center" o:hrstd="t" o:hr="t"/>
        </w:pict>
      </w:r>
    </w:p>
    <w:bookmarkEnd w:id="17"/>
    <w:bookmarkStart w:id="19" w:name="X156b87477e0bb7361219ab7364aa9891d1f4479"/>
    <w:p>
      <w:pPr>
        <w:pStyle w:val="Heading2"/>
      </w:pPr>
      <w:r>
        <w:t xml:space="preserve">5. Full-year guidance may determine the stock reaction</w:t>
      </w:r>
    </w:p>
    <w:p>
      <w:pPr>
        <w:pStyle w:val="FirstParagraph"/>
      </w:pPr>
      <w:r>
        <w:t xml:space="preserve">Eaton’s current 2026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FY2026 guidance</w:t>
            </w:r>
          </w:p>
        </w:tc>
      </w:tr>
      <w:tr>
        <w:tc>
          <w:tcPr/>
          <w:p>
            <w:pPr>
              <w:pStyle w:val="Compact"/>
            </w:pPr>
            <w:r>
              <w:t xml:space="preserve">Organic growth</w:t>
            </w:r>
          </w:p>
        </w:tc>
        <w:tc>
          <w:tcPr/>
          <w:p>
            <w:pPr>
              <w:pStyle w:val="Compact"/>
              <w:jc w:val="right"/>
            </w:pPr>
            <w:r>
              <w:rPr>
                <w:b/>
                <w:bCs/>
              </w:rPr>
              <w:t xml:space="preserve">9%–11%</w:t>
            </w:r>
          </w:p>
        </w:tc>
      </w:tr>
      <w:tr>
        <w:tc>
          <w:tcPr/>
          <w:p>
            <w:pPr>
              <w:pStyle w:val="Compact"/>
            </w:pPr>
            <w:r>
              <w:t xml:space="preserve">Segment margin</w:t>
            </w:r>
          </w:p>
        </w:tc>
        <w:tc>
          <w:tcPr/>
          <w:p>
            <w:pPr>
              <w:pStyle w:val="Compact"/>
              <w:jc w:val="right"/>
            </w:pPr>
            <w:r>
              <w:rPr>
                <w:b/>
                <w:bCs/>
              </w:rPr>
              <w:t xml:space="preserve">24.1%–24.5%</w:t>
            </w:r>
          </w:p>
        </w:tc>
      </w:tr>
      <w:tr>
        <w:tc>
          <w:tcPr/>
          <w:p>
            <w:pPr>
              <w:pStyle w:val="Compact"/>
            </w:pPr>
            <w:r>
              <w:t xml:space="preserve">Adjusted EPS</w:t>
            </w:r>
          </w:p>
        </w:tc>
        <w:tc>
          <w:tcPr/>
          <w:p>
            <w:pPr>
              <w:pStyle w:val="Compact"/>
              <w:jc w:val="right"/>
            </w:pPr>
            <m:oMath>
              <m:r>
                <m:t>13.05</m:t>
              </m:r>
              <m:r>
                <m:rPr>
                  <m:sty m:val="p"/>
                </m:rPr>
                <m:t>–</m:t>
              </m:r>
            </m:oMath>
            <w:r>
              <w:rPr>
                <w:b/>
                <w:bCs/>
              </w:rPr>
              <w:t xml:space="preserve">13.50</w:t>
            </w:r>
          </w:p>
        </w:tc>
      </w:tr>
      <w:tr>
        <w:tc>
          <w:tcPr/>
          <w:p>
            <w:pPr>
              <w:pStyle w:val="Compact"/>
            </w:pPr>
            <w:r>
              <w:t xml:space="preserve">Reported EPS</w:t>
            </w:r>
          </w:p>
        </w:tc>
        <w:tc>
          <w:tcPr/>
          <w:p>
            <w:pPr>
              <w:pStyle w:val="Compact"/>
              <w:jc w:val="right"/>
            </w:pPr>
            <m:oMath>
              <m:r>
                <m:t>10.88</m:t>
              </m:r>
              <m:r>
                <m:rPr>
                  <m:sty m:val="p"/>
                </m:rPr>
                <m:t>–</m:t>
              </m:r>
            </m:oMath>
            <w:r>
              <w:rPr>
                <w:b/>
                <w:bCs/>
              </w:rPr>
              <w:t xml:space="preserve">11.33</w:t>
            </w:r>
          </w:p>
        </w:tc>
      </w:tr>
    </w:tbl>
    <w:p>
      <w:pPr>
        <w:pStyle w:val="BodyText"/>
      </w:pPr>
      <w:r>
        <w:t xml:space="preserve">The adjusted EPS midpoint is $13.275, approximately 10% above 2025.</w:t>
      </w:r>
    </w:p>
    <w:p>
      <w:pPr>
        <w:pStyle w:val="BodyText"/>
      </w:pPr>
      <w:r>
        <w:t xml:space="preserve">Given the strength of orders and backlog, investors may expect at least a modest increase in full-year organic growth or EPS guidance. However, Eaton could choose to retain flexibility because the second-half plan already assumes substantial margin improvement in Electrical Americas.</w:t>
      </w:r>
    </w:p>
    <w:bookmarkStart w:id="18" w:name="guidance-details-that-matter-most"/>
    <w:p>
      <w:pPr>
        <w:pStyle w:val="Heading3"/>
      </w:pPr>
      <w:r>
        <w:t xml:space="preserve">Guidance details that matter most</w:t>
      </w:r>
    </w:p>
    <w:p>
      <w:pPr>
        <w:pStyle w:val="Compact"/>
        <w:numPr>
          <w:ilvl w:val="0"/>
          <w:numId w:val="1011"/>
        </w:numPr>
      </w:pPr>
      <w:r>
        <w:t xml:space="preserve">Whether Electrical Americas still exits 2026 above a 30% margin</w:t>
      </w:r>
    </w:p>
    <w:p>
      <w:pPr>
        <w:pStyle w:val="Compact"/>
        <w:numPr>
          <w:ilvl w:val="0"/>
          <w:numId w:val="1011"/>
        </w:numPr>
      </w:pPr>
      <w:r>
        <w:t xml:space="preserve">Whether full-year segment profit dollars remain on plan</w:t>
      </w:r>
    </w:p>
    <w:p>
      <w:pPr>
        <w:pStyle w:val="Compact"/>
        <w:numPr>
          <w:ilvl w:val="0"/>
          <w:numId w:val="1011"/>
        </w:numPr>
      </w:pPr>
      <w:r>
        <w:t xml:space="preserve">The magnitude and timing of pricing benefits</w:t>
      </w:r>
    </w:p>
    <w:p>
      <w:pPr>
        <w:pStyle w:val="Compact"/>
        <w:numPr>
          <w:ilvl w:val="0"/>
          <w:numId w:val="1011"/>
        </w:numPr>
      </w:pPr>
      <w:r>
        <w:t xml:space="preserve">Boyd’s revenue, margin, and EPS dilution</w:t>
      </w:r>
    </w:p>
    <w:p>
      <w:pPr>
        <w:pStyle w:val="Compact"/>
        <w:numPr>
          <w:ilvl w:val="0"/>
          <w:numId w:val="1011"/>
        </w:numPr>
      </w:pPr>
      <w:r>
        <w:t xml:space="preserve">Updated acquisition and separation costs</w:t>
      </w:r>
    </w:p>
    <w:p>
      <w:pPr>
        <w:pStyle w:val="Compact"/>
        <w:numPr>
          <w:ilvl w:val="0"/>
          <w:numId w:val="1011"/>
        </w:numPr>
      </w:pPr>
      <w:r>
        <w:t xml:space="preserve">Interest expense following acquisition financing</w:t>
      </w:r>
    </w:p>
    <w:p>
      <w:pPr>
        <w:pStyle w:val="Compact"/>
        <w:numPr>
          <w:ilvl w:val="0"/>
          <w:numId w:val="1011"/>
        </w:numPr>
      </w:pPr>
      <w:r>
        <w:t xml:space="preserve">Free-cash-flow conversion and working-capital requirements</w:t>
      </w:r>
    </w:p>
    <w:p>
      <w:pPr>
        <w:pStyle w:val="Compact"/>
        <w:numPr>
          <w:ilvl w:val="0"/>
          <w:numId w:val="1011"/>
        </w:numPr>
      </w:pPr>
      <w:r>
        <w:t xml:space="preserve">Any change to the first-quarter 2027 Mobility separation timetable</w:t>
      </w:r>
    </w:p>
    <w:p>
      <w:pPr>
        <w:pStyle w:val="FirstParagraph"/>
      </w:pPr>
      <w:r>
        <w:t xml:space="preserve">At Eaton’s valuation,</w:t>
      </w:r>
      <w:r>
        <w:t xml:space="preserve"> </w:t>
      </w:r>
      <w:r>
        <w:rPr>
          <w:b/>
          <w:bCs/>
        </w:rPr>
        <w:t xml:space="preserve">an earnings beat paired with unchanged guidance may not be enough</w:t>
      </w:r>
      <w:r>
        <w:t xml:space="preserve"> </w:t>
      </w:r>
      <w:r>
        <w:t xml:space="preserve">unless the margin and order commentary is particularly strong.</w:t>
      </w:r>
    </w:p>
    <w:p>
      <w:r>
        <w:pict>
          <v:rect style="width:0;height:1.5pt" o:hralign="center" o:hrstd="t" o:hr="t"/>
        </w:pict>
      </w:r>
    </w:p>
    <w:bookmarkEnd w:id="18"/>
    <w:bookmarkEnd w:id="19"/>
    <w:bookmarkStart w:id="20" w:name="X934105b491c3b47a8c7b35f794232de718182f6"/>
    <w:p>
      <w:pPr>
        <w:pStyle w:val="Heading2"/>
      </w:pPr>
      <w:r>
        <w:t xml:space="preserve">6. Balance-sheet and cash-flow scrutiny is rising</w:t>
      </w:r>
    </w:p>
    <w:p>
      <w:pPr>
        <w:pStyle w:val="FirstParagraph"/>
      </w:pPr>
      <w:r>
        <w:t xml:space="preserve">The Boyd and Ultra PCS acquisitions transformed Eaton’s balance sheet. At March 31:</w:t>
      </w:r>
    </w:p>
    <w:p>
      <w:pPr>
        <w:pStyle w:val="Compact"/>
        <w:numPr>
          <w:ilvl w:val="0"/>
          <w:numId w:val="1012"/>
        </w:numPr>
      </w:pPr>
      <w:r>
        <w:t xml:space="preserve">Short-term debt was approximately</w:t>
      </w:r>
      <w:r>
        <w:t xml:space="preserve"> </w:t>
      </w:r>
      <w:r>
        <w:rPr>
          <w:b/>
          <w:bCs/>
        </w:rPr>
        <w:t xml:space="preserve">$2.5 billion</w:t>
      </w:r>
    </w:p>
    <w:p>
      <w:pPr>
        <w:pStyle w:val="Compact"/>
        <w:numPr>
          <w:ilvl w:val="0"/>
          <w:numId w:val="1012"/>
        </w:numPr>
      </w:pPr>
      <w:r>
        <w:t xml:space="preserve">Long-term debt was approximately</w:t>
      </w:r>
      <w:r>
        <w:t xml:space="preserve"> </w:t>
      </w:r>
      <w:r>
        <w:rPr>
          <w:b/>
          <w:bCs/>
        </w:rPr>
        <w:t xml:space="preserve">$18.5 billion</w:t>
      </w:r>
    </w:p>
    <w:p>
      <w:pPr>
        <w:pStyle w:val="Compact"/>
        <w:numPr>
          <w:ilvl w:val="0"/>
          <w:numId w:val="1012"/>
        </w:numPr>
      </w:pPr>
      <w:r>
        <w:t xml:space="preserve">Cash and short-term investments totaled roughly</w:t>
      </w:r>
      <w:r>
        <w:t xml:space="preserve"> </w:t>
      </w:r>
      <w:r>
        <w:rPr>
          <w:b/>
          <w:bCs/>
        </w:rPr>
        <w:t xml:space="preserve">$751 million</w:t>
      </w:r>
    </w:p>
    <w:p>
      <w:pPr>
        <w:pStyle w:val="Compact"/>
        <w:numPr>
          <w:ilvl w:val="0"/>
          <w:numId w:val="1012"/>
        </w:numPr>
      </w:pPr>
      <w:r>
        <w:t xml:space="preserve">Q1 interest expense rose to</w:t>
      </w:r>
      <w:r>
        <w:t xml:space="preserve"> </w:t>
      </w:r>
      <w:r>
        <w:rPr>
          <w:b/>
          <w:bCs/>
        </w:rPr>
        <w:t xml:space="preserve">$106 million from $33 million</w:t>
      </w:r>
    </w:p>
    <w:p>
      <w:pPr>
        <w:pStyle w:val="Compact"/>
        <w:numPr>
          <w:ilvl w:val="0"/>
          <w:numId w:val="1012"/>
        </w:numPr>
      </w:pPr>
      <w:r>
        <w:t xml:space="preserve">Eaton did not plan to repurchase shares during 2026</w:t>
      </w:r>
    </w:p>
    <w:p>
      <w:pPr>
        <w:pStyle w:val="Compact"/>
        <w:numPr>
          <w:ilvl w:val="0"/>
          <w:numId w:val="1012"/>
        </w:numPr>
      </w:pPr>
      <w:r>
        <w:t xml:space="preserve">Planned 2026 capital expenditures were approximately</w:t>
      </w:r>
      <w:r>
        <w:t xml:space="preserve"> </w:t>
      </w:r>
      <w:r>
        <w:rPr>
          <w:b/>
          <w:bCs/>
        </w:rPr>
        <w:t xml:space="preserve">$1.15 billion</w:t>
      </w:r>
    </w:p>
    <w:p>
      <w:pPr>
        <w:pStyle w:val="FirstParagraph"/>
      </w:pPr>
      <w:r>
        <w:t xml:space="preserve">The leverage is manageable if growth and cash generation meet expectations, but it reduces room for operating disappointments. Investors should watch:</w:t>
      </w:r>
    </w:p>
    <w:p>
      <w:pPr>
        <w:pStyle w:val="Compact"/>
        <w:numPr>
          <w:ilvl w:val="0"/>
          <w:numId w:val="1013"/>
        </w:numPr>
      </w:pPr>
      <w:r>
        <w:t xml:space="preserve">Operating and free cash flow</w:t>
      </w:r>
    </w:p>
    <w:p>
      <w:pPr>
        <w:pStyle w:val="Compact"/>
        <w:numPr>
          <w:ilvl w:val="0"/>
          <w:numId w:val="1013"/>
        </w:numPr>
      </w:pPr>
      <w:r>
        <w:t xml:space="preserve">Inventory and receivable growth</w:t>
      </w:r>
    </w:p>
    <w:p>
      <w:pPr>
        <w:pStyle w:val="Compact"/>
        <w:numPr>
          <w:ilvl w:val="0"/>
          <w:numId w:val="1013"/>
        </w:numPr>
      </w:pPr>
      <w:r>
        <w:t xml:space="preserve">Boyd’s working-capital requirements</w:t>
      </w:r>
    </w:p>
    <w:p>
      <w:pPr>
        <w:pStyle w:val="Compact"/>
        <w:numPr>
          <w:ilvl w:val="0"/>
          <w:numId w:val="1013"/>
        </w:numPr>
      </w:pPr>
      <w:r>
        <w:t xml:space="preserve">Management’s deleveraging priorities</w:t>
      </w:r>
    </w:p>
    <w:p>
      <w:pPr>
        <w:pStyle w:val="Compact"/>
        <w:numPr>
          <w:ilvl w:val="0"/>
          <w:numId w:val="1013"/>
        </w:numPr>
      </w:pPr>
      <w:r>
        <w:t xml:space="preserve">The timing of any return to share repurchases</w:t>
      </w:r>
    </w:p>
    <w:p>
      <w:pPr>
        <w:pStyle w:val="FirstParagraph"/>
      </w:pPr>
      <w:r>
        <w:t xml:space="preserve">Q1 free cash flow improved sharply year over year but remained modest relative to earnings because of normal first-quarter seasonality and working-capital investment. Q2 should provide a better indication of full-year cash conversion.</w:t>
      </w:r>
    </w:p>
    <w:p>
      <w:r>
        <w:pict>
          <v:rect style="width:0;height:1.5pt" o:hralign="center" o:hrstd="t" o:hr="t"/>
        </w:pict>
      </w:r>
    </w:p>
    <w:bookmarkEnd w:id="20"/>
    <w:bookmarkStart w:id="21" w:name="X65441be99c30a30863bc6d1d64538d554d3b088"/>
    <w:p>
      <w:pPr>
        <w:pStyle w:val="Heading2"/>
      </w:pPr>
      <w:r>
        <w:t xml:space="preserve">7. Mobility is strategically relevant, though unlikely to drive Q2</w:t>
      </w:r>
    </w:p>
    <w:p>
      <w:pPr>
        <w:pStyle w:val="FirstParagraph"/>
      </w:pPr>
      <w:r>
        <w:t xml:space="preserve">Mobility’s Q1 organic sales declined 6%, partly due to Eaton’s deliberate exit from a low-margin North American light-vehicle program. The company continues to target completion of the Mobility spin-off by the end of the first quarter of 2027.</w:t>
      </w:r>
    </w:p>
    <w:p>
      <w:pPr>
        <w:pStyle w:val="BodyText"/>
      </w:pPr>
      <w:r>
        <w:t xml:space="preserve">Investors should listen for:</w:t>
      </w:r>
    </w:p>
    <w:p>
      <w:pPr>
        <w:pStyle w:val="Compact"/>
        <w:numPr>
          <w:ilvl w:val="0"/>
          <w:numId w:val="1014"/>
        </w:numPr>
      </w:pPr>
      <w:r>
        <w:t xml:space="preserve">Confirmation of the separation timeline</w:t>
      </w:r>
    </w:p>
    <w:p>
      <w:pPr>
        <w:pStyle w:val="Compact"/>
        <w:numPr>
          <w:ilvl w:val="0"/>
          <w:numId w:val="1014"/>
        </w:numPr>
      </w:pPr>
      <w:r>
        <w:t xml:space="preserve">Stand-alone cost estimates</w:t>
      </w:r>
    </w:p>
    <w:p>
      <w:pPr>
        <w:pStyle w:val="Compact"/>
        <w:numPr>
          <w:ilvl w:val="0"/>
          <w:numId w:val="1014"/>
        </w:numPr>
      </w:pPr>
      <w:r>
        <w:t xml:space="preserve">Potential stranded corporate costs</w:t>
      </w:r>
    </w:p>
    <w:p>
      <w:pPr>
        <w:pStyle w:val="Compact"/>
        <w:numPr>
          <w:ilvl w:val="0"/>
          <w:numId w:val="1014"/>
        </w:numPr>
      </w:pPr>
      <w:r>
        <w:t xml:space="preserve">Mobility’s margin trajectory</w:t>
      </w:r>
    </w:p>
    <w:p>
      <w:pPr>
        <w:pStyle w:val="Compact"/>
        <w:numPr>
          <w:ilvl w:val="0"/>
          <w:numId w:val="1014"/>
        </w:numPr>
      </w:pPr>
      <w:r>
        <w:t xml:space="preserve">Initial thoughts on capital structure and dividend policy for the separated company</w:t>
      </w:r>
    </w:p>
    <w:p>
      <w:pPr>
        <w:pStyle w:val="FirstParagraph"/>
      </w:pPr>
      <w:r>
        <w:t xml:space="preserve">The spin should leave Eaton more concentrated in higher-growth electrical and aerospace markets, but execution and dis-synergy management will determine how much value it creates.</w:t>
      </w:r>
    </w:p>
    <w:p>
      <w:r>
        <w:pict>
          <v:rect style="width:0;height:1.5pt" o:hralign="center" o:hrstd="t" o:hr="t"/>
        </w:pict>
      </w:r>
    </w:p>
    <w:bookmarkEnd w:id="21"/>
    <w:bookmarkStart w:id="22" w:name="valuation-and-market-setup"/>
    <w:p>
      <w:pPr>
        <w:pStyle w:val="Heading2"/>
      </w:pPr>
      <w:r>
        <w:t xml:space="preserve">Valuation and market setup</w:t>
      </w:r>
    </w:p>
    <w:p>
      <w:pPr>
        <w:pStyle w:val="FirstParagraph"/>
      </w:pPr>
      <w:r>
        <w:t xml:space="preserve">ETN closed at</w:t>
      </w:r>
      <w:r>
        <w:t xml:space="preserve"> </w:t>
      </w:r>
      <w:r>
        <w:rPr>
          <w:b/>
          <w:bCs/>
        </w:rPr>
        <w:t xml:space="preserve">$386.93 on July 30</w:t>
      </w:r>
      <w:r>
        <w:t xml:space="preserve">, approximately:</w:t>
      </w:r>
    </w:p>
    <w:p>
      <w:pPr>
        <w:pStyle w:val="Compact"/>
        <w:numPr>
          <w:ilvl w:val="0"/>
          <w:numId w:val="1015"/>
        </w:numPr>
      </w:pPr>
      <w:r>
        <w:rPr>
          <w:b/>
          <w:bCs/>
        </w:rPr>
        <w:t xml:space="preserve">18% above</w:t>
      </w:r>
      <w:r>
        <w:t xml:space="preserve"> </w:t>
      </w:r>
      <w:r>
        <w:t xml:space="preserve">its first trading-day close of 2026</w:t>
      </w:r>
    </w:p>
    <w:p>
      <w:pPr>
        <w:pStyle w:val="Compact"/>
        <w:numPr>
          <w:ilvl w:val="0"/>
          <w:numId w:val="1015"/>
        </w:numPr>
      </w:pPr>
      <w:r>
        <w:rPr>
          <w:b/>
          <w:bCs/>
        </w:rPr>
        <w:t xml:space="preserve">7% below</w:t>
      </w:r>
      <w:r>
        <w:t xml:space="preserve"> </w:t>
      </w:r>
      <w:r>
        <w:t xml:space="preserve">its July 23 close</w:t>
      </w:r>
    </w:p>
    <w:p>
      <w:pPr>
        <w:pStyle w:val="Compact"/>
        <w:numPr>
          <w:ilvl w:val="0"/>
          <w:numId w:val="1015"/>
        </w:numPr>
      </w:pPr>
      <w:r>
        <w:rPr>
          <w:b/>
          <w:bCs/>
        </w:rPr>
        <w:t xml:space="preserve">29 times</w:t>
      </w:r>
      <w:r>
        <w:t xml:space="preserve"> </w:t>
      </w:r>
      <w:r>
        <w:t xml:space="preserve">the midpoint of Eaton’s current 2026 adjusted EPS guidance</w:t>
      </w:r>
    </w:p>
    <w:p>
      <w:pPr>
        <w:pStyle w:val="FirstParagraph"/>
      </w:pPr>
      <w:r>
        <w:t xml:space="preserve">That valuation reflects a great deal of confidence in Eaton’s multi-year data-center and electrification opportunity. It also raises the hurdle for the report: investors are likely to reward evidence of improving margins and higher forward earnings more than another set of impressive demand statistics.</w:t>
      </w:r>
    </w:p>
    <w:p>
      <w:r>
        <w:pict>
          <v:rect style="width:0;height:1.5pt" o:hralign="center" o:hrstd="t" o:hr="t"/>
        </w:pict>
      </w:r>
    </w:p>
    <w:bookmarkEnd w:id="22"/>
    <w:bookmarkStart w:id="26" w:name="X8ee3646a02f38feab84214fc044d86531b257d0"/>
    <w:p>
      <w:pPr>
        <w:pStyle w:val="Heading2"/>
      </w:pPr>
      <w:r>
        <w:t xml:space="preserve">What a bullish, neutral, or bearish report could look like</w:t>
      </w:r>
    </w:p>
    <w:bookmarkStart w:id="23" w:name="bullish"/>
    <w:p>
      <w:pPr>
        <w:pStyle w:val="Heading3"/>
      </w:pPr>
      <w:r>
        <w:t xml:space="preserve">Bullish</w:t>
      </w:r>
    </w:p>
    <w:p>
      <w:pPr>
        <w:pStyle w:val="Compact"/>
        <w:numPr>
          <w:ilvl w:val="0"/>
          <w:numId w:val="1016"/>
        </w:numPr>
      </w:pPr>
      <w:r>
        <w:t xml:space="preserve">Revenue above approximately $8.12 billion</w:t>
      </w:r>
    </w:p>
    <w:p>
      <w:pPr>
        <w:pStyle w:val="Compact"/>
        <w:numPr>
          <w:ilvl w:val="0"/>
          <w:numId w:val="1016"/>
        </w:numPr>
      </w:pPr>
      <w:r>
        <w:t xml:space="preserve">Adjusted EPS above $3.10</w:t>
      </w:r>
    </w:p>
    <w:p>
      <w:pPr>
        <w:pStyle w:val="Compact"/>
        <w:numPr>
          <w:ilvl w:val="0"/>
          <w:numId w:val="1016"/>
        </w:numPr>
      </w:pPr>
      <w:r>
        <w:t xml:space="preserve">Organic growth above the 9%–11% range</w:t>
      </w:r>
    </w:p>
    <w:p>
      <w:pPr>
        <w:pStyle w:val="Compact"/>
        <w:numPr>
          <w:ilvl w:val="0"/>
          <w:numId w:val="1016"/>
        </w:numPr>
      </w:pPr>
      <w:r>
        <w:t xml:space="preserve">Electrical Americas margin at or above roughly 27%</w:t>
      </w:r>
    </w:p>
    <w:p>
      <w:pPr>
        <w:pStyle w:val="Compact"/>
        <w:numPr>
          <w:ilvl w:val="0"/>
          <w:numId w:val="1016"/>
        </w:numPr>
      </w:pPr>
      <w:r>
        <w:t xml:space="preserve">Orders and backlog remain exceptionally strong</w:t>
      </w:r>
    </w:p>
    <w:p>
      <w:pPr>
        <w:pStyle w:val="Compact"/>
        <w:numPr>
          <w:ilvl w:val="0"/>
          <w:numId w:val="1016"/>
        </w:numPr>
      </w:pPr>
      <w:r>
        <w:t xml:space="preserve">Boyd exceeds its Q2 revenue plan</w:t>
      </w:r>
    </w:p>
    <w:p>
      <w:pPr>
        <w:pStyle w:val="Compact"/>
        <w:numPr>
          <w:ilvl w:val="0"/>
          <w:numId w:val="1016"/>
        </w:numPr>
      </w:pPr>
      <w:r>
        <w:t xml:space="preserve">Full-year EPS and/or organic-growth guidance increases</w:t>
      </w:r>
    </w:p>
    <w:p>
      <w:pPr>
        <w:pStyle w:val="Compact"/>
        <w:numPr>
          <w:ilvl w:val="0"/>
          <w:numId w:val="1016"/>
        </w:numPr>
      </w:pPr>
      <w:r>
        <w:t xml:space="preserve">Management reiterates a greater-than-30% Electrical Americas exit margin</w:t>
      </w:r>
    </w:p>
    <w:bookmarkEnd w:id="23"/>
    <w:bookmarkStart w:id="24" w:name="neutral"/>
    <w:p>
      <w:pPr>
        <w:pStyle w:val="Heading3"/>
      </w:pPr>
      <w:r>
        <w:t xml:space="preserve">Neutral</w:t>
      </w:r>
    </w:p>
    <w:p>
      <w:pPr>
        <w:pStyle w:val="Compact"/>
        <w:numPr>
          <w:ilvl w:val="0"/>
          <w:numId w:val="1017"/>
        </w:numPr>
      </w:pPr>
      <w:r>
        <w:t xml:space="preserve">Revenue and EPS near expectations</w:t>
      </w:r>
    </w:p>
    <w:p>
      <w:pPr>
        <w:pStyle w:val="Compact"/>
        <w:numPr>
          <w:ilvl w:val="0"/>
          <w:numId w:val="1017"/>
        </w:numPr>
      </w:pPr>
      <w:r>
        <w:t xml:space="preserve">Organic growth within guidance</w:t>
      </w:r>
    </w:p>
    <w:p>
      <w:pPr>
        <w:pStyle w:val="Compact"/>
        <w:numPr>
          <w:ilvl w:val="0"/>
          <w:numId w:val="1017"/>
        </w:numPr>
      </w:pPr>
      <w:r>
        <w:t xml:space="preserve">Electrical Americas margin improves about 150 basis points sequentially</w:t>
      </w:r>
    </w:p>
    <w:p>
      <w:pPr>
        <w:pStyle w:val="Compact"/>
        <w:numPr>
          <w:ilvl w:val="0"/>
          <w:numId w:val="1017"/>
        </w:numPr>
      </w:pPr>
      <w:r>
        <w:t xml:space="preserve">Boyd performs in line</w:t>
      </w:r>
    </w:p>
    <w:p>
      <w:pPr>
        <w:pStyle w:val="Compact"/>
        <w:numPr>
          <w:ilvl w:val="0"/>
          <w:numId w:val="1017"/>
        </w:numPr>
      </w:pPr>
      <w:r>
        <w:t xml:space="preserve">Full-year guidance is reiterated</w:t>
      </w:r>
    </w:p>
    <w:p>
      <w:pPr>
        <w:pStyle w:val="Compact"/>
        <w:numPr>
          <w:ilvl w:val="0"/>
          <w:numId w:val="1017"/>
        </w:numPr>
      </w:pPr>
      <w:r>
        <w:t xml:space="preserve">Demand remains strong but order growth moderates against tougher comparisons</w:t>
      </w:r>
    </w:p>
    <w:bookmarkEnd w:id="24"/>
    <w:bookmarkStart w:id="25" w:name="bearish"/>
    <w:p>
      <w:pPr>
        <w:pStyle w:val="Heading3"/>
      </w:pPr>
      <w:r>
        <w:t xml:space="preserve">Bearish</w:t>
      </w:r>
    </w:p>
    <w:p>
      <w:pPr>
        <w:pStyle w:val="Compact"/>
        <w:numPr>
          <w:ilvl w:val="0"/>
          <w:numId w:val="1018"/>
        </w:numPr>
      </w:pPr>
      <w:r>
        <w:t xml:space="preserve">Electrical Americas margin falls short of the expected recovery</w:t>
      </w:r>
    </w:p>
    <w:p>
      <w:pPr>
        <w:pStyle w:val="Compact"/>
        <w:numPr>
          <w:ilvl w:val="0"/>
          <w:numId w:val="1018"/>
        </w:numPr>
      </w:pPr>
      <w:r>
        <w:t xml:space="preserve">Price-cost normalization is pushed further into the second half</w:t>
      </w:r>
    </w:p>
    <w:p>
      <w:pPr>
        <w:pStyle w:val="Compact"/>
        <w:numPr>
          <w:ilvl w:val="0"/>
          <w:numId w:val="1018"/>
        </w:numPr>
      </w:pPr>
      <w:r>
        <w:t xml:space="preserve">Capacity-ramp costs increase</w:t>
      </w:r>
    </w:p>
    <w:p>
      <w:pPr>
        <w:pStyle w:val="Compact"/>
        <w:numPr>
          <w:ilvl w:val="0"/>
          <w:numId w:val="1018"/>
        </w:numPr>
      </w:pPr>
      <w:r>
        <w:t xml:space="preserve">Boyd’s revenue or margins disappoint</w:t>
      </w:r>
    </w:p>
    <w:p>
      <w:pPr>
        <w:pStyle w:val="Compact"/>
        <w:numPr>
          <w:ilvl w:val="0"/>
          <w:numId w:val="1018"/>
        </w:numPr>
      </w:pPr>
      <w:r>
        <w:t xml:space="preserve">Data-center projects are delayed or order growth slows more than expected</w:t>
      </w:r>
    </w:p>
    <w:p>
      <w:pPr>
        <w:pStyle w:val="Compact"/>
        <w:numPr>
          <w:ilvl w:val="0"/>
          <w:numId w:val="1018"/>
        </w:numPr>
      </w:pPr>
      <w:r>
        <w:t xml:space="preserve">Full-year guidance is maintained only through heavier second-half assumptions—or reduced</w:t>
      </w:r>
    </w:p>
    <w:p>
      <w:pPr>
        <w:pStyle w:val="Compact"/>
        <w:numPr>
          <w:ilvl w:val="0"/>
          <w:numId w:val="1018"/>
        </w:numPr>
      </w:pPr>
      <w:r>
        <w:t xml:space="preserve">Cash conversion weakens while leverage remains elevated</w:t>
      </w:r>
    </w:p>
    <w:p>
      <w:r>
        <w:pict>
          <v:rect style="width:0;height:1.5pt" o:hralign="center" o:hrstd="t" o:hr="t"/>
        </w:pict>
      </w:r>
    </w:p>
    <w:bookmarkEnd w:id="25"/>
    <w:bookmarkEnd w:id="26"/>
    <w:bookmarkStart w:id="27" w:name="bottom-line"/>
    <w:p>
      <w:pPr>
        <w:pStyle w:val="Heading2"/>
      </w:pPr>
      <w:r>
        <w:t xml:space="preserve">Bottom line</w:t>
      </w:r>
    </w:p>
    <w:p>
      <w:pPr>
        <w:pStyle w:val="FirstParagraph"/>
      </w:pPr>
      <w:r>
        <w:t xml:space="preserve">Eaton’s long-term demand story remains compelling. Its data-center, utility, aerospace, and electrification exposure is producing unusually strong orders and backlog, and Boyd broadens the company’s addressable market into advanced cooling.</w:t>
      </w:r>
    </w:p>
    <w:p>
      <w:pPr>
        <w:pStyle w:val="BodyText"/>
      </w:pPr>
      <w:r>
        <w:t xml:space="preserve">But Q2 is fundamentally an</w:t>
      </w:r>
      <w:r>
        <w:t xml:space="preserve"> </w:t>
      </w:r>
      <w:r>
        <w:rPr>
          <w:b/>
          <w:bCs/>
        </w:rPr>
        <w:t xml:space="preserve">execution report</w:t>
      </w:r>
      <w:r>
        <w:t xml:space="preserve">. The three most important items are:</w:t>
      </w:r>
    </w:p>
    <w:p>
      <w:pPr>
        <w:pStyle w:val="Compact"/>
        <w:numPr>
          <w:ilvl w:val="0"/>
          <w:numId w:val="1019"/>
        </w:numPr>
      </w:pPr>
      <w:r>
        <w:rPr>
          <w:b/>
          <w:bCs/>
        </w:rPr>
        <w:t xml:space="preserve">Electrical Americas margin recovery</w:t>
      </w:r>
    </w:p>
    <w:p>
      <w:pPr>
        <w:pStyle w:val="Compact"/>
        <w:numPr>
          <w:ilvl w:val="0"/>
          <w:numId w:val="1019"/>
        </w:numPr>
      </w:pPr>
      <w:r>
        <w:rPr>
          <w:b/>
          <w:bCs/>
        </w:rPr>
        <w:t xml:space="preserve">Boyd Thermal’s first full-quarter performance</w:t>
      </w:r>
    </w:p>
    <w:p>
      <w:pPr>
        <w:pStyle w:val="Compact"/>
        <w:numPr>
          <w:ilvl w:val="0"/>
          <w:numId w:val="1019"/>
        </w:numPr>
      </w:pPr>
      <w:r>
        <w:rPr>
          <w:b/>
          <w:bCs/>
        </w:rPr>
        <w:t xml:space="preserve">The credibility and potential upside of full-year guidance</w:t>
      </w:r>
    </w:p>
    <w:p>
      <w:pPr>
        <w:pStyle w:val="FirstParagraph"/>
      </w:pPr>
      <w:r>
        <w:t xml:space="preserve">A modest headline beat without margin progress could receive a muted response. Conversely, clear evidence that pricing and utilization are driving Electrical Americas back toward 30%—combined with continued Boyd and order momentum—would strengthen the case that Eaton can grow into its premium valuation.</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2026-07-31T00:31:36Z</dcterms:created>
  <dcterms:modified xsi:type="dcterms:W3CDTF">2026-07-31T00:31:36Z</dcterms:modified>
</cp:coreProperties>
</file>

<file path=docProps/custom.xml><?xml version="1.0" encoding="utf-8"?>
<Properties xmlns="http://schemas.openxmlformats.org/officeDocument/2006/custom-properties" xmlns:vt="http://schemas.openxmlformats.org/officeDocument/2006/docPropsVTypes"/>
</file>