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n-earnings-predictions--2026-07-31"/>
    <w:p>
      <w:pPr>
        <w:pStyle w:val="Heading1"/>
      </w:pPr>
      <w:r>
        <w:t xml:space="preserve">ETN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~$3.13 vs. cons $3.08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~$8.18B vs. cons $8.12B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Electrical Americas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~27.4% vs. cons 27.0%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13.15</m:t>
              </m:r>
              <m:r>
                <m:rPr>
                  <m:sty m:val="p"/>
                </m:rPr>
                <m:t>−</m:t>
              </m:r>
            </m:oMath>
            <w:r>
              <w:t xml:space="preserve">13.60 (midpoint $13.38) vs. cons $13.32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~10%-12% (midpoint 11.0%) vs. cons 10.5%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segment-margin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~24.2%-24.6% (midpoint 24.4%) vs. cons 24.3%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Day-5 residual ~5.5% versus day-1 residual ~3.5%: a modest FY2026 EPS/organic-growth lift plus Electrical Americas margin recovery should drive positive out-period revisions rather than leave the beat offset by implicit second-half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2026-07-31T00:31:46Z</dcterms:created>
  <dcterms:modified xsi:type="dcterms:W3CDTF">2026-07-31T00:31:46Z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