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eaton-nyse-etn--2q26-earnings-preview"/>
    <w:p>
      <w:pPr>
        <w:pStyle w:val="Heading1"/>
      </w:pPr>
      <w:r>
        <w:t xml:space="preserve">Eaton (NYSE: ETN) — 2Q26 Earnings Preview</w:t>
      </w:r>
    </w:p>
    <w:p>
      <w:pPr>
        <w:pStyle w:val="BlockText"/>
      </w:pPr>
      <w:r>
        <w:rPr>
          <w:b/>
          <w:bCs/>
        </w:rPr>
        <w:t xml:space="preserve">Timing note:</w:t>
      </w:r>
      <w:r>
        <w:t xml:space="preserve"> </w:t>
      </w:r>
      <w:r>
        <w:t xml:space="preserve">July 31, 2026 is</w:t>
      </w:r>
      <w:r>
        <w:t xml:space="preserve"> </w:t>
      </w:r>
      <w:r>
        <w:rPr>
          <w:b/>
          <w:bCs/>
        </w:rPr>
        <w:t xml:space="preserve">today</w:t>
      </w:r>
      <w:r>
        <w:t xml:space="preserve">, not tomorrow. This preview assumes Eaton’s 2Q26 release and earnings call are still pending before the U.S. market open.</w:t>
      </w:r>
    </w:p>
    <w:bookmarkStart w:id="9" w:name="bottom-line"/>
    <w:p>
      <w:pPr>
        <w:pStyle w:val="Heading2"/>
      </w:pPr>
      <w:r>
        <w:t xml:space="preserve">Bottom line</w:t>
      </w:r>
    </w:p>
    <w:p>
      <w:pPr>
        <w:pStyle w:val="FirstParagraph"/>
      </w:pPr>
      <w:r>
        <w:t xml:space="preserve">Eaton enters 2Q with an unusually favorable demand backdrop—particularly in North American electrical equipment, data-center infrastructure, global electrical products, and aerospace—but also with a high execution bar. The central issue is no longer whether demand is strong; it is whether Eaton can convert record backlog and capacity investment into the</w:t>
      </w:r>
      <w:r>
        <w:t xml:space="preserve"> </w:t>
      </w:r>
      <w:r>
        <w:rPr>
          <w:b/>
          <w:bCs/>
        </w:rPr>
        <w:t xml:space="preserve">sequential Electrical Americas margin recovery</w:t>
      </w:r>
      <w:r>
        <w:t xml:space="preserve"> </w:t>
      </w:r>
      <w:r>
        <w:t xml:space="preserve">it promised in May.</w:t>
      </w:r>
    </w:p>
    <w:p>
      <w:pPr>
        <w:pStyle w:val="BodyText"/>
      </w:pPr>
      <w:r>
        <w:t xml:space="preserve">For the quarter, management guided to:</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2Q26 guidance</w:t>
            </w:r>
          </w:p>
        </w:tc>
        <w:tc>
          <w:tcPr/>
          <w:p>
            <w:pPr>
              <w:pStyle w:val="Compact"/>
              <w:jc w:val="right"/>
            </w:pPr>
            <w:r>
              <w:t xml:space="preserve">Range / midpoint</w:t>
            </w:r>
          </w:p>
        </w:tc>
      </w:tr>
      <w:tr>
        <w:tc>
          <w:tcPr/>
          <w:p>
            <w:pPr>
              <w:pStyle w:val="Compact"/>
            </w:pPr>
            <w:r>
              <w:t xml:space="preserve">Organic sales growth</w:t>
            </w:r>
          </w:p>
        </w:tc>
        <w:tc>
          <w:tcPr/>
          <w:p>
            <w:pPr>
              <w:pStyle w:val="Compact"/>
              <w:jc w:val="right"/>
            </w:pPr>
            <w:r>
              <w:rPr>
                <w:b/>
                <w:bCs/>
              </w:rPr>
              <w:t xml:space="preserve">9%–11%</w:t>
            </w:r>
          </w:p>
        </w:tc>
      </w:tr>
      <w:tr>
        <w:tc>
          <w:tcPr/>
          <w:p>
            <w:pPr>
              <w:pStyle w:val="Compact"/>
            </w:pPr>
            <w:r>
              <w:t xml:space="preserve">Segment margin</w:t>
            </w:r>
          </w:p>
        </w:tc>
        <w:tc>
          <w:tcPr/>
          <w:p>
            <w:pPr>
              <w:pStyle w:val="Compact"/>
              <w:jc w:val="right"/>
            </w:pPr>
            <w:r>
              <w:rPr>
                <w:b/>
                <w:bCs/>
              </w:rPr>
              <w:t xml:space="preserve">22.6%–23.0%</w:t>
            </w:r>
          </w:p>
        </w:tc>
      </w:tr>
      <w:tr>
        <w:tc>
          <w:tcPr/>
          <w:p>
            <w:pPr>
              <w:pStyle w:val="Compact"/>
            </w:pPr>
            <w:r>
              <w:t xml:space="preserve">GAAP EPS</w:t>
            </w:r>
          </w:p>
        </w:tc>
        <w:tc>
          <w:tcPr/>
          <w:p>
            <w:pPr>
              <w:pStyle w:val="Compact"/>
              <w:jc w:val="right"/>
            </w:pPr>
            <m:oMath>
              <m:r>
                <m:t>2.29</m:t>
              </m:r>
              <m:r>
                <m:rPr>
                  <m:sty m:val="p"/>
                </m:rPr>
                <m:t>–</m:t>
              </m:r>
            </m:oMath>
            <w:r>
              <w:rPr>
                <w:b/>
                <w:bCs/>
              </w:rPr>
              <w:t xml:space="preserve">2.39</w:t>
            </w:r>
          </w:p>
        </w:tc>
      </w:tr>
      <w:tr>
        <w:tc>
          <w:tcPr/>
          <w:p>
            <w:pPr>
              <w:pStyle w:val="Compact"/>
            </w:pPr>
            <w:r>
              <w:t xml:space="preserve">Adjusted EPS</w:t>
            </w:r>
          </w:p>
        </w:tc>
        <w:tc>
          <w:tcPr/>
          <w:p>
            <w:pPr>
              <w:pStyle w:val="Compact"/>
              <w:jc w:val="right"/>
            </w:pPr>
            <m:oMath>
              <m:r>
                <m:t>3.00</m:t>
              </m:r>
              <m:r>
                <m:rPr>
                  <m:sty m:val="p"/>
                </m:rPr>
                <m:t>–</m:t>
              </m:r>
            </m:oMath>
            <w:r>
              <w:rPr>
                <w:b/>
                <w:bCs/>
              </w:rPr>
              <w:t xml:space="preserve">3.10</w:t>
            </w:r>
          </w:p>
        </w:tc>
      </w:tr>
      <w:tr>
        <w:tc>
          <w:tcPr/>
          <w:p>
            <w:pPr>
              <w:pStyle w:val="Compact"/>
            </w:pPr>
            <w:r>
              <w:t xml:space="preserve">Adjusted EPS midpoint</w:t>
            </w:r>
          </w:p>
        </w:tc>
        <w:tc>
          <w:tcPr/>
          <w:p>
            <w:pPr>
              <w:pStyle w:val="Compact"/>
              <w:jc w:val="right"/>
            </w:pPr>
            <w:r>
              <w:rPr>
                <w:b/>
                <w:bCs/>
              </w:rPr>
              <w:t xml:space="preserve">$3.05</w:t>
            </w:r>
          </w:p>
        </w:tc>
      </w:tr>
    </w:tbl>
    <w:p>
      <w:pPr>
        <w:pStyle w:val="BodyText"/>
      </w:pPr>
      <w:r>
        <w:t xml:space="preserve">The available pre-report market digest indicates the Street expects approximately</w:t>
      </w:r>
      <w:r>
        <w:t xml:space="preserve"> </w:t>
      </w:r>
      <m:oMath>
        <m:r>
          <m:t>8.12</m:t>
        </m:r>
        <m:r>
          <m:t>b</m:t>
        </m:r>
        <m:r>
          <m:t>i</m:t>
        </m:r>
        <m:r>
          <m:t>l</m:t>
        </m:r>
        <m:r>
          <m:t>l</m:t>
        </m:r>
        <m:r>
          <m:t>i</m:t>
        </m:r>
        <m:r>
          <m:t>o</m:t>
        </m:r>
        <m:r>
          <m:t>n</m:t>
        </m:r>
        <m:r>
          <m:t>o</m:t>
        </m:r>
        <m:r>
          <m:t>f</m:t>
        </m:r>
        <m:r>
          <m:t>s</m:t>
        </m:r>
        <m:r>
          <m:t>a</m:t>
        </m:r>
        <m:r>
          <m:t>l</m:t>
        </m:r>
        <m:r>
          <m:t>e</m:t>
        </m:r>
        <m:r>
          <m:t>s</m:t>
        </m:r>
        <m:r>
          <m:rPr>
            <m:sty m:val="p"/>
          </m:rPr>
          <m:t>*</m:t>
        </m:r>
        <m:r>
          <m:rPr>
            <m:sty m:val="p"/>
          </m:rPr>
          <m:t>*</m:t>
        </m:r>
        <m:r>
          <m:rPr>
            <m:sty m:val="p"/>
          </m:rPr>
          <m:t>,</m:t>
        </m:r>
        <m:r>
          <m:t>o</m:t>
        </m:r>
        <m:r>
          <m:t>r</m:t>
        </m:r>
        <m:r>
          <m:rPr>
            <m:sty m:val="p"/>
          </m:rPr>
          <m:t>*</m:t>
        </m:r>
        <m:r>
          <m:rPr>
            <m:sty m:val="p"/>
          </m:rPr>
          <m:t>*</m:t>
        </m:r>
        <m:r>
          <m:t>15.6</m:t>
        </m:r>
      </m:oMath>
      <w:r>
        <w:rPr>
          <w:b/>
          <w:bCs/>
        </w:rPr>
        <w:t xml:space="preserve">13.05–$13.50 of adjusted EPS</w:t>
      </w:r>
      <w:r>
        <w:t xml:space="preserve">.</w:t>
      </w:r>
    </w:p>
    <w:bookmarkEnd w:id="9"/>
    <w:bookmarkStart w:id="10" w:name="X6192479eadfab468e511e958d28891a4d436499"/>
    <w:p>
      <w:pPr>
        <w:pStyle w:val="Heading2"/>
      </w:pPr>
      <w:r>
        <w:t xml:space="preserve">The investment debate: demand is proven; margins must now catch up</w:t>
      </w:r>
    </w:p>
    <w:p>
      <w:pPr>
        <w:pStyle w:val="FirstParagraph"/>
      </w:pPr>
      <w:r>
        <w:t xml:space="preserve">Eaton delivered a strong 1Q, with 10% organic growth, 17% reported sales growth, and adjusted EPS of $2.81—above its guided midpoint. More importantly, its underlying order and backlog data reinforced the structural AI/data-center and electrification thesis:</w:t>
      </w:r>
    </w:p>
    <w:p>
      <w:pPr>
        <w:pStyle w:val="Compact"/>
        <w:numPr>
          <w:ilvl w:val="0"/>
          <w:numId w:val="1001"/>
        </w:numPr>
      </w:pPr>
      <w:r>
        <w:rPr>
          <w:b/>
          <w:bCs/>
        </w:rPr>
        <w:t xml:space="preserve">Electrical Americas:</w:t>
      </w:r>
      <w:r>
        <w:t xml:space="preserve"> </w:t>
      </w:r>
      <w:r>
        <w:t xml:space="preserve">14% organic sales growth; rolling 12-month orders up 42%; backlog up 44%.</w:t>
      </w:r>
    </w:p>
    <w:p>
      <w:pPr>
        <w:pStyle w:val="Compact"/>
        <w:numPr>
          <w:ilvl w:val="0"/>
          <w:numId w:val="1001"/>
        </w:numPr>
      </w:pPr>
      <w:r>
        <w:rPr>
          <w:b/>
          <w:bCs/>
        </w:rPr>
        <w:t xml:space="preserve">Electrical Global:</w:t>
      </w:r>
      <w:r>
        <w:t xml:space="preserve"> </w:t>
      </w:r>
      <w:r>
        <w:t xml:space="preserve">9% organic growth; rolling orders up 13%; backlog up 73%.</w:t>
      </w:r>
    </w:p>
    <w:p>
      <w:pPr>
        <w:pStyle w:val="Compact"/>
        <w:numPr>
          <w:ilvl w:val="0"/>
          <w:numId w:val="1001"/>
        </w:numPr>
      </w:pPr>
      <w:r>
        <w:rPr>
          <w:b/>
          <w:bCs/>
        </w:rPr>
        <w:t xml:space="preserve">Aerospace:</w:t>
      </w:r>
      <w:r>
        <w:t xml:space="preserve"> </w:t>
      </w:r>
      <w:r>
        <w:t xml:space="preserve">9% organic growth; rolling orders up 13%; backlog up 28%.</w:t>
      </w:r>
    </w:p>
    <w:p>
      <w:pPr>
        <w:pStyle w:val="Compact"/>
        <w:numPr>
          <w:ilvl w:val="0"/>
          <w:numId w:val="1001"/>
        </w:numPr>
      </w:pPr>
      <w:r>
        <w:t xml:space="preserve">Combined Electrical book-to-bill reached</w:t>
      </w:r>
      <w:r>
        <w:t xml:space="preserve"> </w:t>
      </w:r>
      <w:r>
        <w:rPr>
          <w:b/>
          <w:bCs/>
        </w:rPr>
        <w:t xml:space="preserve">1.2x</w:t>
      </w:r>
      <w:r>
        <w:t xml:space="preserve"> </w:t>
      </w:r>
      <w:r>
        <w:t xml:space="preserve">on a rolling basis.</w:t>
      </w:r>
    </w:p>
    <w:p>
      <w:pPr>
        <w:pStyle w:val="FirstParagraph"/>
      </w:pPr>
      <w:r>
        <w:t xml:space="preserve">However, Electrical Americas’ 1Q margin fell to</w:t>
      </w:r>
      <w:r>
        <w:t xml:space="preserve"> </w:t>
      </w:r>
      <w:r>
        <w:rPr>
          <w:b/>
          <w:bCs/>
        </w:rPr>
        <w:t xml:space="preserve">25.6%</w:t>
      </w:r>
      <w:r>
        <w:t xml:space="preserve">, from 30.0% a year earlier. Eaton attributed the decline principally to commodity and wage inflation, capacity-ramp costs, and growth investments associated with serving a rapidly expanding order pipeline. Management’s message was clear: 1Q was the trough, April had begun well, pricing actions initiated April 1 would improve realization over time, and Electrical Americas margin should improve by roughly</w:t>
      </w:r>
      <w:r>
        <w:t xml:space="preserve"> </w:t>
      </w:r>
      <w:r>
        <w:rPr>
          <w:b/>
          <w:bCs/>
        </w:rPr>
        <w:t xml:space="preserve">150 basis points sequentially in 2Q</w:t>
      </w:r>
      <w:r>
        <w:t xml:space="preserve">.</w:t>
      </w:r>
    </w:p>
    <w:p>
      <w:pPr>
        <w:pStyle w:val="BodyText"/>
      </w:pPr>
      <w:r>
        <w:t xml:space="preserve">That margin bridge is the core test of this report.</w:t>
      </w:r>
    </w:p>
    <w:bookmarkEnd w:id="10"/>
    <w:bookmarkStart w:id="16" w:name="what-investors-should-watch"/>
    <w:p>
      <w:pPr>
        <w:pStyle w:val="Heading2"/>
      </w:pPr>
      <w:r>
        <w:t xml:space="preserve">What investors should watch</w:t>
      </w:r>
    </w:p>
    <w:bookmarkStart w:id="11" w:name="X079c3b08e6c27df2372a643d3cbf9eecec6cc3c"/>
    <w:p>
      <w:pPr>
        <w:pStyle w:val="Heading3"/>
      </w:pPr>
      <w:r>
        <w:t xml:space="preserve">1. Electrical Americas margin: the highest-value KPI</w:t>
      </w:r>
    </w:p>
    <w:p>
      <w:pPr>
        <w:pStyle w:val="FirstParagraph"/>
      </w:pPr>
      <w:r>
        <w:t xml:space="preserve">The market will likely accept another quarter of large growth investment if Eaton shows that the recovery is mechanically underway. Investors should look for:</w:t>
      </w:r>
    </w:p>
    <w:p>
      <w:pPr>
        <w:pStyle w:val="Compact"/>
        <w:numPr>
          <w:ilvl w:val="0"/>
          <w:numId w:val="1002"/>
        </w:numPr>
      </w:pPr>
      <w:r>
        <w:t xml:space="preserve">Confirmation of the expected</w:t>
      </w:r>
      <w:r>
        <w:t xml:space="preserve"> </w:t>
      </w:r>
      <w:r>
        <w:rPr>
          <w:b/>
          <w:bCs/>
        </w:rPr>
        <w:t xml:space="preserve">~150 bp sequential margin improvement</w:t>
      </w:r>
      <w:r>
        <w:t xml:space="preserve"> </w:t>
      </w:r>
      <w:r>
        <w:t xml:space="preserve">in Electrical Americas;</w:t>
      </w:r>
    </w:p>
    <w:p>
      <w:pPr>
        <w:pStyle w:val="Compact"/>
        <w:numPr>
          <w:ilvl w:val="0"/>
          <w:numId w:val="1002"/>
        </w:numPr>
      </w:pPr>
      <w:r>
        <w:t xml:space="preserve">Evidence that April pricing is flowing through as expected;</w:t>
      </w:r>
    </w:p>
    <w:p>
      <w:pPr>
        <w:pStyle w:val="Compact"/>
        <w:numPr>
          <w:ilvl w:val="0"/>
          <w:numId w:val="1002"/>
        </w:numPr>
      </w:pPr>
      <w:r>
        <w:t xml:space="preserve">Commentary on labor, commodity, and factory start-up costs;</w:t>
      </w:r>
    </w:p>
    <w:p>
      <w:pPr>
        <w:pStyle w:val="Compact"/>
        <w:numPr>
          <w:ilvl w:val="0"/>
          <w:numId w:val="1002"/>
        </w:numPr>
      </w:pPr>
      <w:r>
        <w:t xml:space="preserve">Confidence in exiting 2026 with Electrical Americas margins</w:t>
      </w:r>
      <w:r>
        <w:t xml:space="preserve"> </w:t>
      </w:r>
      <w:r>
        <w:rPr>
          <w:b/>
          <w:bCs/>
        </w:rPr>
        <w:t xml:space="preserve">above 30%</w:t>
      </w:r>
      <w:r>
        <w:t xml:space="preserve">.</w:t>
      </w:r>
    </w:p>
    <w:p>
      <w:pPr>
        <w:pStyle w:val="FirstParagraph"/>
      </w:pPr>
      <w:r>
        <w:t xml:space="preserve">The company is ramping an aggressive capacity-expansion program. Management said 12 of 24 expansion projects had been completed and were ramping, six more were expected online by year-end 2026, and another six after 2027. Strong volume absorption should improve fixed-cost leverage, but any delay in factory ramping, customer deliveries, or pricing capture would make the second-half margin algorithm harder to achieve.</w:t>
      </w:r>
    </w:p>
    <w:bookmarkEnd w:id="11"/>
    <w:bookmarkStart w:id="12" w:name="Xcfb03b338a8016425079ff54ee3947562060a9a"/>
    <w:p>
      <w:pPr>
        <w:pStyle w:val="Heading3"/>
      </w:pPr>
      <w:r>
        <w:t xml:space="preserve">2. Data-center demand, order conversion, and backlog quality</w:t>
      </w:r>
    </w:p>
    <w:p>
      <w:pPr>
        <w:pStyle w:val="FirstParagraph"/>
      </w:pPr>
      <w:r>
        <w:t xml:space="preserve">Data centers are the primary source of upside—and valuation sensitivity. In 1Q, Eaton said data-center orders were up 240% year over year, while Electrical Americas data-center sales rose about 50%.</w:t>
      </w:r>
    </w:p>
    <w:p>
      <w:pPr>
        <w:pStyle w:val="BodyText"/>
      </w:pPr>
      <w:r>
        <w:t xml:space="preserve">For 2Q, the important questions are:</w:t>
      </w:r>
    </w:p>
    <w:p>
      <w:pPr>
        <w:pStyle w:val="Compact"/>
        <w:numPr>
          <w:ilvl w:val="0"/>
          <w:numId w:val="1003"/>
        </w:numPr>
      </w:pPr>
      <w:r>
        <w:t xml:space="preserve">Does order growth remain strong after a very large 1Q comparison?</w:t>
      </w:r>
    </w:p>
    <w:p>
      <w:pPr>
        <w:pStyle w:val="Compact"/>
        <w:numPr>
          <w:ilvl w:val="0"/>
          <w:numId w:val="1003"/>
        </w:numPr>
      </w:pPr>
      <w:r>
        <w:t xml:space="preserve">Are order gains broad-based across hyperscalers, distributed IT, utilities, and adjacent infrastructure?</w:t>
      </w:r>
    </w:p>
    <w:p>
      <w:pPr>
        <w:pStyle w:val="Compact"/>
        <w:numPr>
          <w:ilvl w:val="0"/>
          <w:numId w:val="1003"/>
        </w:numPr>
      </w:pPr>
      <w:r>
        <w:t xml:space="preserve">Is Eaton seeing any project delays, financing friction, power-availability constraints, or customer concentration concerns?</w:t>
      </w:r>
    </w:p>
    <w:p>
      <w:pPr>
        <w:pStyle w:val="Compact"/>
        <w:numPr>
          <w:ilvl w:val="0"/>
          <w:numId w:val="1003"/>
        </w:numPr>
      </w:pPr>
      <w:r>
        <w:t xml:space="preserve">Does backlog remain convertibly near-term, rather than simply extending in duration?</w:t>
      </w:r>
    </w:p>
    <w:p>
      <w:pPr>
        <w:pStyle w:val="FirstParagraph"/>
      </w:pPr>
      <w:r>
        <w:t xml:space="preserve">A continued acceleration in orders and backlog would support upside to the 2026 organic-growth guide. A moderation would not necessarily break the long-term thesis, but it could challenge near-term expectations given how much of the bullish case rests on AI-related electrical infrastructure.</w:t>
      </w:r>
    </w:p>
    <w:bookmarkEnd w:id="12"/>
    <w:bookmarkStart w:id="13" w:name="Xe2881bee004e1da4c98a4b5adbf1acc4050932d"/>
    <w:p>
      <w:pPr>
        <w:pStyle w:val="Heading3"/>
      </w:pPr>
      <w:r>
        <w:t xml:space="preserve">3. Boyd Thermal: first full-quarter integration and growth test</w:t>
      </w:r>
    </w:p>
    <w:p>
      <w:pPr>
        <w:pStyle w:val="FirstParagraph"/>
      </w:pPr>
      <w:r>
        <w:t xml:space="preserve">The March acquisition of Boyd Thermal gives Eaton a more complete</w:t>
      </w:r>
      <w:r>
        <w:t xml:space="preserve"> </w:t>
      </w:r>
      <w:r>
        <w:rPr>
          <w:b/>
          <w:bCs/>
        </w:rPr>
        <w:t xml:space="preserve">grid-to-chip</w:t>
      </w:r>
      <w:r>
        <w:t xml:space="preserve"> </w:t>
      </w:r>
      <w:r>
        <w:t xml:space="preserve">data-center offering, including liquid-cooling capabilities. Boyd is strategically significant because it moves Eaton deeper into the “white space” of the data center and closer to chip and server platforms.</w:t>
      </w:r>
    </w:p>
    <w:p>
      <w:pPr>
        <w:pStyle w:val="BodyText"/>
      </w:pPr>
      <w:r>
        <w:t xml:space="preserve">Management’s initial framework called for the cooling business to generate</w:t>
      </w:r>
      <w:r>
        <w:t xml:space="preserve"> </w:t>
      </w:r>
      <w:r>
        <w:rPr>
          <w:b/>
          <w:bCs/>
        </w:rPr>
        <w:t xml:space="preserve">at least</w:t>
      </w:r>
      <w:r>
        <w:rPr>
          <w:b/>
          <w:bCs/>
        </w:rPr>
        <w:t xml:space="preserve"> </w:t>
      </w:r>
      <m:oMath>
        <m:r>
          <m:t>1.7</m:t>
        </m:r>
        <m:r>
          <m:t>b</m:t>
        </m:r>
        <m:r>
          <m:t>i</m:t>
        </m:r>
        <m:r>
          <m:t>l</m:t>
        </m:r>
        <m:r>
          <m:t>l</m:t>
        </m:r>
        <m:r>
          <m:t>i</m:t>
        </m:r>
        <m:r>
          <m:t>o</m:t>
        </m:r>
        <m:r>
          <m:t>n</m:t>
        </m:r>
        <m:r>
          <m:rPr>
            <m:sty m:val="p"/>
          </m:rPr>
          <m:t>*</m:t>
        </m:r>
        <m:r>
          <m:rPr>
            <m:sty m:val="p"/>
          </m:rPr>
          <m:t>*</m:t>
        </m:r>
        <m:r>
          <m:t>o</m:t>
        </m:r>
        <m:r>
          <m:t>f</m:t>
        </m:r>
        <m:r>
          <m:t>2026</m:t>
        </m:r>
        <m:r>
          <m:t>r</m:t>
        </m:r>
        <m:r>
          <m:t>e</m:t>
        </m:r>
        <m:r>
          <m:t>v</m:t>
        </m:r>
        <m:r>
          <m:t>e</m:t>
        </m:r>
        <m:r>
          <m:t>n</m:t>
        </m:r>
        <m:r>
          <m:t>u</m:t>
        </m:r>
        <m:r>
          <m:t>e</m:t>
        </m:r>
        <m:r>
          <m:rPr>
            <m:sty m:val="p"/>
          </m:rPr>
          <m:t>,</m:t>
        </m:r>
        <m:r>
          <m:t>w</m:t>
        </m:r>
        <m:r>
          <m:t>i</m:t>
        </m:r>
        <m:r>
          <m:t>t</m:t>
        </m:r>
        <m:r>
          <m:t>h</m:t>
        </m:r>
        <m:r>
          <m:t>r</m:t>
        </m:r>
        <m:r>
          <m:t>o</m:t>
        </m:r>
        <m:r>
          <m:t>u</m:t>
        </m:r>
        <m:r>
          <m:t>g</m:t>
        </m:r>
        <m:r>
          <m:t>h</m:t>
        </m:r>
        <m:r>
          <m:t>l</m:t>
        </m:r>
        <m:r>
          <m:t>y</m:t>
        </m:r>
        <m:r>
          <m:rPr>
            <m:sty m:val="p"/>
          </m:rPr>
          <m:t>*</m:t>
        </m:r>
        <m:r>
          <m:rPr>
            <m:sty m:val="p"/>
          </m:rPr>
          <m:t>*</m:t>
        </m:r>
      </m:oMath>
      <w:r>
        <w:rPr>
          <w:b/>
          <w:bCs/>
        </w:rPr>
        <w:t xml:space="preserve">1.4 billion</w:t>
      </w:r>
      <w:r>
        <w:t xml:space="preserve"> </w:t>
      </w:r>
      <w:r>
        <w:t xml:space="preserve">included in Eaton’s reported results during 2026. Eaton also indicated Boyd revenue more than doubled year over year in 1Q and that its backlog had doubled over the preceding six months.</w:t>
      </w:r>
    </w:p>
    <w:p>
      <w:pPr>
        <w:pStyle w:val="BodyText"/>
      </w:pPr>
      <w:r>
        <w:t xml:space="preserve">The 2Q report should clarify:</w:t>
      </w:r>
    </w:p>
    <w:p>
      <w:pPr>
        <w:pStyle w:val="Compact"/>
        <w:numPr>
          <w:ilvl w:val="0"/>
          <w:numId w:val="1004"/>
        </w:numPr>
      </w:pPr>
      <w:r>
        <w:t xml:space="preserve">Whether Boyd is tracking above, at, or below its initial revenue plan;</w:t>
      </w:r>
    </w:p>
    <w:p>
      <w:pPr>
        <w:pStyle w:val="Compact"/>
        <w:numPr>
          <w:ilvl w:val="0"/>
          <w:numId w:val="1004"/>
        </w:numPr>
      </w:pPr>
      <w:r>
        <w:t xml:space="preserve">Whether its exceptionally rapid growth remains supported by capacity;</w:t>
      </w:r>
    </w:p>
    <w:p>
      <w:pPr>
        <w:pStyle w:val="Compact"/>
        <w:numPr>
          <w:ilvl w:val="0"/>
          <w:numId w:val="1004"/>
        </w:numPr>
      </w:pPr>
      <w:r>
        <w:t xml:space="preserve">The expected pace of integration and synergy realization;</w:t>
      </w:r>
    </w:p>
    <w:p>
      <w:pPr>
        <w:pStyle w:val="Compact"/>
        <w:numPr>
          <w:ilvl w:val="0"/>
          <w:numId w:val="1004"/>
        </w:numPr>
      </w:pPr>
      <w:r>
        <w:t xml:space="preserve">Whether the business is dilutive, neutral, or increasingly accretive to earnings and cash flow over the medium term.</w:t>
      </w:r>
    </w:p>
    <w:p>
      <w:pPr>
        <w:pStyle w:val="FirstParagraph"/>
      </w:pPr>
      <w:r>
        <w:t xml:space="preserve">An early upward revision to the Boyd outlook would be a meaningful positive catalyst. Conversely, investors will scrutinize any commentary suggesting integration friction, supply constraints, customer concentration, or unexpectedly high growth capex.</w:t>
      </w:r>
    </w:p>
    <w:bookmarkEnd w:id="13"/>
    <w:bookmarkStart w:id="14" w:name="Xbb2529659f45435efe6aa5ef2891d3ba7434566"/>
    <w:p>
      <w:pPr>
        <w:pStyle w:val="Heading3"/>
      </w:pPr>
      <w:r>
        <w:t xml:space="preserve">4. Full-year guidance: reiteration may be adequate, but the quality matters</w:t>
      </w:r>
    </w:p>
    <w:p>
      <w:pPr>
        <w:pStyle w:val="FirstParagraph"/>
      </w:pPr>
      <w:r>
        <w:t xml:space="preserve">After 1Q, Eaton raised full-year organic growth guidance by 200 bps at the midpoint to</w:t>
      </w:r>
      <w:r>
        <w:t xml:space="preserve"> </w:t>
      </w:r>
      <w:r>
        <w:rPr>
          <w:b/>
          <w:bCs/>
        </w:rPr>
        <w:t xml:space="preserve">9%–11%</w:t>
      </w:r>
      <w:r>
        <w:t xml:space="preserve">, while reducing segment-margin guidance by 50 bps to</w:t>
      </w:r>
      <w:r>
        <w:t xml:space="preserve"> </w:t>
      </w:r>
      <w:r>
        <w:rPr>
          <w:b/>
          <w:bCs/>
        </w:rPr>
        <w:t xml:space="preserve">24.1%–24.5%</w:t>
      </w:r>
      <w:r>
        <w:t xml:space="preserve"> </w:t>
      </w:r>
      <w:r>
        <w:t xml:space="preserve">because of the early-year Electrical Americas headwinds. It also raised the low end of adjusted EPS guidance to</w:t>
      </w:r>
      <w:r>
        <w:t xml:space="preserve"> </w:t>
      </w:r>
      <m:oMath>
        <m:r>
          <m:t>13.05</m:t>
        </m:r>
        <m:r>
          <m:rPr>
            <m:sty m:val="p"/>
          </m:rPr>
          <m:t>–</m:t>
        </m:r>
      </m:oMath>
      <w:r>
        <w:rPr>
          <w:b/>
          <w:bCs/>
        </w:rPr>
        <w:t xml:space="preserve">13.50</w:t>
      </w:r>
      <w:r>
        <w:t xml:space="preserve">.</w:t>
      </w:r>
    </w:p>
    <w:p>
      <w:pPr>
        <w:pStyle w:val="BodyText"/>
      </w:pPr>
      <w:r>
        <w:t xml:space="preserve">For 2Q, the likely hierarchy of outcomes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Outcome</w:t>
            </w:r>
          </w:p>
        </w:tc>
        <w:tc>
          <w:tcPr/>
          <w:p>
            <w:pPr>
              <w:pStyle w:val="Compact"/>
            </w:pPr>
            <w:r>
              <w:t xml:space="preserve">Likely interpretation</w:t>
            </w:r>
          </w:p>
        </w:tc>
      </w:tr>
      <w:tr>
        <w:tc>
          <w:tcPr/>
          <w:p>
            <w:pPr>
              <w:pStyle w:val="Compact"/>
            </w:pPr>
            <w:r>
              <w:rPr>
                <w:b/>
                <w:bCs/>
              </w:rPr>
              <w:t xml:space="preserve">Raises organic-growth and EPS outlook</w:t>
            </w:r>
          </w:p>
        </w:tc>
        <w:tc>
          <w:tcPr/>
          <w:p>
            <w:pPr>
              <w:pStyle w:val="Compact"/>
            </w:pPr>
            <w:r>
              <w:t xml:space="preserve">Demand, order conversion, and margin recovery are outperforming; strongest bullish outcome.</w:t>
            </w:r>
          </w:p>
        </w:tc>
      </w:tr>
      <w:tr>
        <w:tc>
          <w:tcPr/>
          <w:p>
            <w:pPr>
              <w:pStyle w:val="Compact"/>
            </w:pPr>
            <w:r>
              <w:rPr>
                <w:b/>
                <w:bCs/>
              </w:rPr>
              <w:t xml:space="preserve">Reiterates guidance with a confident second-half setup</w:t>
            </w:r>
          </w:p>
        </w:tc>
        <w:tc>
          <w:tcPr/>
          <w:p>
            <w:pPr>
              <w:pStyle w:val="Compact"/>
            </w:pPr>
            <w:r>
              <w:t xml:space="preserve">Likely acceptable if Electrical Americas margin improves and orders remain robust.</w:t>
            </w:r>
          </w:p>
        </w:tc>
      </w:tr>
      <w:tr>
        <w:tc>
          <w:tcPr/>
          <w:p>
            <w:pPr>
              <w:pStyle w:val="Compact"/>
            </w:pPr>
            <w:r>
              <w:rPr>
                <w:b/>
                <w:bCs/>
              </w:rPr>
              <w:t xml:space="preserve">Reiterates guidance but reduces margin confidence / back-end weighting increases</w:t>
            </w:r>
          </w:p>
        </w:tc>
        <w:tc>
          <w:tcPr/>
          <w:p>
            <w:pPr>
              <w:pStyle w:val="Compact"/>
            </w:pPr>
            <w:r>
              <w:t xml:space="preserve">Negative; suggests the capacity and pricing recovery is taking longer.</w:t>
            </w:r>
          </w:p>
        </w:tc>
      </w:tr>
      <w:tr>
        <w:tc>
          <w:tcPr/>
          <w:p>
            <w:pPr>
              <w:pStyle w:val="Compact"/>
            </w:pPr>
            <w:r>
              <w:rPr>
                <w:b/>
                <w:bCs/>
              </w:rPr>
              <w:t xml:space="preserve">Cuts guidance</w:t>
            </w:r>
          </w:p>
        </w:tc>
        <w:tc>
          <w:tcPr/>
          <w:p>
            <w:pPr>
              <w:pStyle w:val="Compact"/>
            </w:pPr>
            <w:r>
              <w:t xml:space="preserve">Material surprise, likely requiring either a demand, execution, cost, or integration explanation.</w:t>
            </w:r>
          </w:p>
        </w:tc>
      </w:tr>
    </w:tbl>
    <w:p>
      <w:pPr>
        <w:pStyle w:val="BodyText"/>
      </w:pPr>
      <w:r>
        <w:t xml:space="preserve">The most likely baseline appears to be a</w:t>
      </w:r>
      <w:r>
        <w:t xml:space="preserve"> </w:t>
      </w:r>
      <w:r>
        <w:rPr>
          <w:b/>
          <w:bCs/>
        </w:rPr>
        <w:t xml:space="preserve">reaffirmation</w:t>
      </w:r>
      <w:r>
        <w:t xml:space="preserve">, with management preserving flexibility around the unusually large amount of incremental capacity, acquisition integration, and data-center-related demand.</w:t>
      </w:r>
    </w:p>
    <w:bookmarkEnd w:id="14"/>
    <w:bookmarkStart w:id="15" w:name="X1f310d8606222a0ffc37bf11b923b7c88360dce"/>
    <w:p>
      <w:pPr>
        <w:pStyle w:val="Heading3"/>
      </w:pPr>
      <w:r>
        <w:t xml:space="preserve">5. Cash flow, debt, and capital allocation</w:t>
      </w:r>
    </w:p>
    <w:p>
      <w:pPr>
        <w:pStyle w:val="FirstParagraph"/>
      </w:pPr>
      <w:r>
        <w:t xml:space="preserve">Eaton funded major acquisitions—especially Boyd Thermal—with substantial debt issuance. At March 31, it carried approximately</w:t>
      </w:r>
      <w:r>
        <w:t xml:space="preserve"> </w:t>
      </w:r>
      <m:oMath>
        <m:r>
          <m:t>18.5</m:t>
        </m:r>
        <m:r>
          <m:t>b</m:t>
        </m:r>
        <m:r>
          <m:t>i</m:t>
        </m:r>
        <m:r>
          <m:t>l</m:t>
        </m:r>
        <m:r>
          <m:t>l</m:t>
        </m:r>
        <m:r>
          <m:t>i</m:t>
        </m:r>
        <m:r>
          <m:t>o</m:t>
        </m:r>
        <m:r>
          <m:t>n</m:t>
        </m:r>
        <m:r>
          <m:t>o</m:t>
        </m:r>
        <m:r>
          <m:t>f</m:t>
        </m:r>
        <m:r>
          <m:t>l</m:t>
        </m:r>
        <m:r>
          <m:t>o</m:t>
        </m:r>
        <m:r>
          <m:t>n</m:t>
        </m:r>
        <m:r>
          <m:t>g</m:t>
        </m:r>
        <m:r>
          <m:rPr>
            <m:sty m:val="p"/>
          </m:rPr>
          <m:t>−</m:t>
        </m:r>
        <m:r>
          <m:t>t</m:t>
        </m:r>
        <m:r>
          <m:t>e</m:t>
        </m:r>
        <m:r>
          <m:t>r</m:t>
        </m:r>
        <m:r>
          <m:t>m</m:t>
        </m:r>
        <m:r>
          <m:t>d</m:t>
        </m:r>
        <m:r>
          <m:t>e</m:t>
        </m:r>
        <m:r>
          <m:t>b</m:t>
        </m:r>
        <m:r>
          <m:t>t</m:t>
        </m:r>
        <m:r>
          <m:rPr>
            <m:sty m:val="p"/>
          </m:rPr>
          <m:t>*</m:t>
        </m:r>
        <m:r>
          <m:rPr>
            <m:sty m:val="p"/>
          </m:rPr>
          <m:t>*</m:t>
        </m:r>
        <m:r>
          <m:t>a</m:t>
        </m:r>
        <m:r>
          <m:t>n</m:t>
        </m:r>
        <m:r>
          <m:t>d</m:t>
        </m:r>
        <m:r>
          <m:rPr>
            <m:sty m:val="p"/>
          </m:rPr>
          <m:t>*</m:t>
        </m:r>
        <m:r>
          <m:rPr>
            <m:sty m:val="p"/>
          </m:rPr>
          <m:t>*</m:t>
        </m:r>
      </m:oMath>
      <w:r>
        <w:rPr>
          <w:b/>
          <w:bCs/>
        </w:rPr>
        <w:t xml:space="preserve">2.5 billion of short-term debt</w:t>
      </w:r>
      <w:r>
        <w:t xml:space="preserve">, while first-quarter net interest expense rose to</w:t>
      </w:r>
      <w:r>
        <w:t xml:space="preserve"> </w:t>
      </w:r>
      <w:r>
        <w:rPr>
          <w:b/>
          <w:bCs/>
        </w:rPr>
        <w:t xml:space="preserve">$106 million</w:t>
      </w:r>
      <w:r>
        <w:t xml:space="preserve"> </w:t>
      </w:r>
      <w:r>
        <w:t xml:space="preserve">from $33 million a year earlier.</w:t>
      </w:r>
    </w:p>
    <w:p>
      <w:pPr>
        <w:pStyle w:val="BodyText"/>
      </w:pPr>
      <w:r>
        <w:t xml:space="preserve">The balance sheet is not the primary controversy, but it increases the importance of cash conversion. Investors should monitor:</w:t>
      </w:r>
    </w:p>
    <w:p>
      <w:pPr>
        <w:pStyle w:val="Compact"/>
        <w:numPr>
          <w:ilvl w:val="0"/>
          <w:numId w:val="1005"/>
        </w:numPr>
      </w:pPr>
      <w:r>
        <w:t xml:space="preserve">Operating cash flow and free-cash-flow conversion;</w:t>
      </w:r>
    </w:p>
    <w:p>
      <w:pPr>
        <w:pStyle w:val="Compact"/>
        <w:numPr>
          <w:ilvl w:val="0"/>
          <w:numId w:val="1005"/>
        </w:numPr>
      </w:pPr>
      <w:r>
        <w:t xml:space="preserve">Working-capital performance as revenue and backlog scale;</w:t>
      </w:r>
    </w:p>
    <w:p>
      <w:pPr>
        <w:pStyle w:val="Compact"/>
        <w:numPr>
          <w:ilvl w:val="0"/>
          <w:numId w:val="1005"/>
        </w:numPr>
      </w:pPr>
      <w:r>
        <w:t xml:space="preserve">Capex progress relative to the roughly</w:t>
      </w:r>
      <w:r>
        <w:t xml:space="preserve"> </w:t>
      </w:r>
      <w:r>
        <w:rPr>
          <w:b/>
          <w:bCs/>
        </w:rPr>
        <w:t xml:space="preserve">$1.15 billion</w:t>
      </w:r>
      <w:r>
        <w:t xml:space="preserve"> </w:t>
      </w:r>
      <w:r>
        <w:t xml:space="preserve">2026 plan;</w:t>
      </w:r>
    </w:p>
    <w:p>
      <w:pPr>
        <w:pStyle w:val="Compact"/>
        <w:numPr>
          <w:ilvl w:val="0"/>
          <w:numId w:val="1005"/>
        </w:numPr>
      </w:pPr>
      <w:r>
        <w:t xml:space="preserve">Any change in deleveraging priorities or in the expected timing of resumed share repurchases.</w:t>
      </w:r>
    </w:p>
    <w:p>
      <w:pPr>
        <w:pStyle w:val="FirstParagraph"/>
      </w:pPr>
      <w:r>
        <w:t xml:space="preserve">Eaton generated $314 million of free cash flow in 1Q, up sharply year over year, but 2Q will offer a better indication of whether higher earnings and backlog are translating into sustainable cash generation while the company funds capacity expansion.</w:t>
      </w:r>
    </w:p>
    <w:bookmarkEnd w:id="15"/>
    <w:bookmarkEnd w:id="16"/>
    <w:bookmarkStart w:id="17" w:name="segment-scorecard"/>
    <w:p>
      <w:pPr>
        <w:pStyle w:val="Heading2"/>
      </w:pPr>
      <w:r>
        <w:t xml:space="preserve">Segment scorecard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Segment</w:t>
            </w:r>
          </w:p>
        </w:tc>
        <w:tc>
          <w:tcPr/>
          <w:p>
            <w:pPr>
              <w:pStyle w:val="Compact"/>
              <w:jc w:val="right"/>
            </w:pPr>
            <w:r>
              <w:t xml:space="preserve">1Q26 organic growth</w:t>
            </w:r>
          </w:p>
        </w:tc>
        <w:tc>
          <w:tcPr/>
          <w:p>
            <w:pPr>
              <w:pStyle w:val="Compact"/>
            </w:pPr>
            <w:r>
              <w:t xml:space="preserve">Key 2Q issue</w:t>
            </w:r>
          </w:p>
        </w:tc>
      </w:tr>
      <w:tr>
        <w:tc>
          <w:tcPr/>
          <w:p>
            <w:pPr>
              <w:pStyle w:val="Compact"/>
            </w:pPr>
            <w:r>
              <w:t xml:space="preserve">Electrical Americas</w:t>
            </w:r>
          </w:p>
        </w:tc>
        <w:tc>
          <w:tcPr/>
          <w:p>
            <w:pPr>
              <w:pStyle w:val="Compact"/>
              <w:jc w:val="right"/>
            </w:pPr>
            <w:r>
              <w:t xml:space="preserve">14%</w:t>
            </w:r>
          </w:p>
        </w:tc>
        <w:tc>
          <w:tcPr/>
          <w:p>
            <w:pPr>
              <w:pStyle w:val="Compact"/>
            </w:pPr>
            <w:r>
              <w:t xml:space="preserve">Margin recovery, price/cost, factory ramps, data-center and utility demand</w:t>
            </w:r>
          </w:p>
        </w:tc>
      </w:tr>
      <w:tr>
        <w:tc>
          <w:tcPr/>
          <w:p>
            <w:pPr>
              <w:pStyle w:val="Compact"/>
            </w:pPr>
            <w:r>
              <w:t xml:space="preserve">Electrical Global</w:t>
            </w:r>
          </w:p>
        </w:tc>
        <w:tc>
          <w:tcPr/>
          <w:p>
            <w:pPr>
              <w:pStyle w:val="Compact"/>
              <w:jc w:val="right"/>
            </w:pPr>
            <w:r>
              <w:t xml:space="preserve">9%</w:t>
            </w:r>
          </w:p>
        </w:tc>
        <w:tc>
          <w:tcPr/>
          <w:p>
            <w:pPr>
              <w:pStyle w:val="Compact"/>
            </w:pPr>
            <w:r>
              <w:t xml:space="preserve">Boyd contribution, data-center growth, mix and integration execution</w:t>
            </w:r>
          </w:p>
        </w:tc>
      </w:tr>
      <w:tr>
        <w:tc>
          <w:tcPr/>
          <w:p>
            <w:pPr>
              <w:pStyle w:val="Compact"/>
            </w:pPr>
            <w:r>
              <w:t xml:space="preserve">Aerospace</w:t>
            </w:r>
          </w:p>
        </w:tc>
        <w:tc>
          <w:tcPr/>
          <w:p>
            <w:pPr>
              <w:pStyle w:val="Compact"/>
              <w:jc w:val="right"/>
            </w:pPr>
            <w:r>
              <w:t xml:space="preserve">9%</w:t>
            </w:r>
          </w:p>
        </w:tc>
        <w:tc>
          <w:tcPr/>
          <w:p>
            <w:pPr>
              <w:pStyle w:val="Compact"/>
            </w:pPr>
            <w:r>
              <w:t xml:space="preserve">Sustaining strong commercial and defense aftermarket demand; normalization after 1Q facility-sale benefit</w:t>
            </w:r>
          </w:p>
        </w:tc>
      </w:tr>
      <w:tr>
        <w:tc>
          <w:tcPr/>
          <w:p>
            <w:pPr>
              <w:pStyle w:val="Compact"/>
            </w:pPr>
            <w:r>
              <w:t xml:space="preserve">Mobility</w:t>
            </w:r>
          </w:p>
        </w:tc>
        <w:tc>
          <w:tcPr/>
          <w:p>
            <w:pPr>
              <w:pStyle w:val="Compact"/>
              <w:jc w:val="right"/>
            </w:pPr>
            <w:r>
              <w:t xml:space="preserve">-6%</w:t>
            </w:r>
          </w:p>
        </w:tc>
        <w:tc>
          <w:tcPr/>
          <w:p>
            <w:pPr>
              <w:pStyle w:val="Compact"/>
            </w:pPr>
            <w:r>
              <w:t xml:space="preserve">Margin resilience, progress toward planned 1Q27 spin-off, and separation costs</w:t>
            </w:r>
          </w:p>
        </w:tc>
      </w:tr>
    </w:tbl>
    <w:p>
      <w:pPr>
        <w:pStyle w:val="BodyText"/>
      </w:pPr>
      <w:r>
        <w:t xml:space="preserve">Aerospace has been a quieter but important contributor: it reported a record 26.7% 1Q margin, though that included a one-time facility-sale gain. Investors should distinguish underlying profitability from that nonrecurring benefit.</w:t>
      </w:r>
    </w:p>
    <w:p>
      <w:pPr>
        <w:pStyle w:val="BodyText"/>
      </w:pPr>
      <w:r>
        <w:t xml:space="preserve">Mobility is strategically less central given the planned spin-off by the end of 1Q27. The main questions are separation execution, costs, and whether Eaton can preserve the segment’s profitability while disentangling it from the parent organization.</w:t>
      </w:r>
    </w:p>
    <w:bookmarkEnd w:id="17"/>
    <w:bookmarkStart w:id="18" w:name="Xf246d17b8e170f246bcce2f38e9fe1eece25c7d"/>
    <w:p>
      <w:pPr>
        <w:pStyle w:val="Heading2"/>
      </w:pPr>
      <w:r>
        <w:t xml:space="preserve">Earnings-quality consideration: adjusted versus GAAP EPS</w:t>
      </w:r>
    </w:p>
    <w:p>
      <w:pPr>
        <w:pStyle w:val="FirstParagraph"/>
      </w:pPr>
      <w:r>
        <w:t xml:space="preserve">The gap between guided adjusted and GAAP EPS is substantial in 2Q:</w:t>
      </w:r>
    </w:p>
    <w:p>
      <w:pPr>
        <w:pStyle w:val="Compact"/>
        <w:numPr>
          <w:ilvl w:val="0"/>
          <w:numId w:val="1006"/>
        </w:numPr>
      </w:pPr>
      <w:r>
        <w:t xml:space="preserve">GAAP EPS guide midpoint:</w:t>
      </w:r>
      <w:r>
        <w:t xml:space="preserve"> </w:t>
      </w:r>
      <w:r>
        <w:rPr>
          <w:b/>
          <w:bCs/>
        </w:rPr>
        <w:t xml:space="preserve">$2.34</w:t>
      </w:r>
    </w:p>
    <w:p>
      <w:pPr>
        <w:pStyle w:val="Compact"/>
        <w:numPr>
          <w:ilvl w:val="0"/>
          <w:numId w:val="1006"/>
        </w:numPr>
      </w:pPr>
      <w:r>
        <w:t xml:space="preserve">Adjusted EPS guide midpoint:</w:t>
      </w:r>
      <w:r>
        <w:t xml:space="preserve"> </w:t>
      </w:r>
      <w:r>
        <w:rPr>
          <w:b/>
          <w:bCs/>
        </w:rPr>
        <w:t xml:space="preserve">$3.05</w:t>
      </w:r>
    </w:p>
    <w:p>
      <w:pPr>
        <w:pStyle w:val="Compact"/>
        <w:numPr>
          <w:ilvl w:val="0"/>
          <w:numId w:val="1006"/>
        </w:numPr>
      </w:pPr>
      <w:r>
        <w:t xml:space="preserve">Difference:</w:t>
      </w:r>
      <w:r>
        <w:t xml:space="preserve"> </w:t>
      </w:r>
      <w:r>
        <w:rPr>
          <w:b/>
          <w:bCs/>
        </w:rPr>
        <w:t xml:space="preserve">$0.71 per share</w:t>
      </w:r>
    </w:p>
    <w:p>
      <w:pPr>
        <w:pStyle w:val="FirstParagraph"/>
      </w:pPr>
      <w:r>
        <w:t xml:space="preserve">The expected adjustments include acquisition/divestiture expenses, restructuring charges, and intangible amortization. Given the Boyd and Ultra PCS acquisitions and the Mobility separation, this is understandable—but investors should track whether “temporary” acquisition and restructuring costs remain contained and whether amortization and interest burden grow faster than expected.</w:t>
      </w:r>
    </w:p>
    <w:bookmarkEnd w:id="18"/>
    <w:bookmarkStart w:id="19" w:name="share-price-setup"/>
    <w:p>
      <w:pPr>
        <w:pStyle w:val="Heading2"/>
      </w:pPr>
      <w:r>
        <w:t xml:space="preserve">Share-price setup</w:t>
      </w:r>
    </w:p>
    <w:p>
      <w:pPr>
        <w:pStyle w:val="FirstParagraph"/>
      </w:pPr>
      <w:r>
        <w:t xml:space="preserve">ETN closed at</w:t>
      </w:r>
      <w:r>
        <w:t xml:space="preserve"> </w:t>
      </w:r>
      <w:r>
        <w:rPr>
          <w:b/>
          <w:bCs/>
        </w:rPr>
        <w:t xml:space="preserve">$386.93 on July 30</w:t>
      </w:r>
      <w:r>
        <w:t xml:space="preserve">, down about</w:t>
      </w:r>
      <w:r>
        <w:t xml:space="preserve"> </w:t>
      </w:r>
      <w:r>
        <w:rPr>
          <w:b/>
          <w:bCs/>
        </w:rPr>
        <w:t xml:space="preserve">8.4%</w:t>
      </w:r>
      <w:r>
        <w:t xml:space="preserve"> </w:t>
      </w:r>
      <w:r>
        <w:t xml:space="preserve">from its May 4 close of $422.44 and about</w:t>
      </w:r>
      <w:r>
        <w:t xml:space="preserve"> </w:t>
      </w:r>
      <w:r>
        <w:rPr>
          <w:b/>
          <w:bCs/>
        </w:rPr>
        <w:t xml:space="preserve">6.2%</w:t>
      </w:r>
      <w:r>
        <w:t xml:space="preserve"> </w:t>
      </w:r>
      <w:r>
        <w:t xml:space="preserve">from its July 1 close. That pullback suggests the stock is not entering the print at peak enthusiasm, but expectations surrounding data-center demand, Boyd Thermal, and the Electrical Americas margin recovery remain elevated.</w:t>
      </w:r>
    </w:p>
    <w:bookmarkEnd w:id="19"/>
    <w:bookmarkStart w:id="20" w:name="preview-conclusion"/>
    <w:p>
      <w:pPr>
        <w:pStyle w:val="Heading2"/>
      </w:pPr>
      <w:r>
        <w:t xml:space="preserve">Preview conclusion</w:t>
      </w:r>
    </w:p>
    <w:p>
      <w:pPr>
        <w:pStyle w:val="FirstParagraph"/>
      </w:pPr>
      <w:r>
        <w:rPr>
          <w:b/>
          <w:bCs/>
        </w:rPr>
        <w:t xml:space="preserve">The key to 2Q is execution, not demand.</w:t>
      </w:r>
      <w:r>
        <w:t xml:space="preserve"> </w:t>
      </w:r>
      <w:r>
        <w:t xml:space="preserve">Eaton has already demonstrated exceptional demand indicators, particularly in electrical infrastructure and data centers. A constructive report needs to show three things:</w:t>
      </w:r>
    </w:p>
    <w:p>
      <w:pPr>
        <w:pStyle w:val="Compact"/>
        <w:numPr>
          <w:ilvl w:val="0"/>
          <w:numId w:val="1007"/>
        </w:numPr>
      </w:pPr>
      <w:r>
        <w:rPr>
          <w:b/>
          <w:bCs/>
        </w:rPr>
        <w:t xml:space="preserve">Organic growth remains within or above the 9%–11% guided range;</w:t>
      </w:r>
    </w:p>
    <w:p>
      <w:pPr>
        <w:pStyle w:val="Compact"/>
        <w:numPr>
          <w:ilvl w:val="0"/>
          <w:numId w:val="1007"/>
        </w:numPr>
      </w:pPr>
      <w:r>
        <w:rPr>
          <w:b/>
          <w:bCs/>
        </w:rPr>
        <w:t xml:space="preserve">Electrical Americas margins are visibly recovering sequentially; and</w:t>
      </w:r>
    </w:p>
    <w:p>
      <w:pPr>
        <w:pStyle w:val="Compact"/>
        <w:numPr>
          <w:ilvl w:val="0"/>
          <w:numId w:val="1007"/>
        </w:numPr>
      </w:pPr>
      <w:r>
        <w:rPr>
          <w:b/>
          <w:bCs/>
        </w:rPr>
        <w:t xml:space="preserve">Boyd Thermal is ramping cleanly, with its growth and integration thesis intact.</w:t>
      </w:r>
    </w:p>
    <w:p>
      <w:pPr>
        <w:pStyle w:val="FirstParagraph"/>
      </w:pPr>
      <w:r>
        <w:t xml:space="preserve">If those conditions are met, Eaton should retain a credible path to its full-year adjusted EPS guide and a stronger second half. If margins fail to inflect despite strong top-line growth, the market is likely to focus less on Eaton’s record backlog and more on the cost of converting that backlog into earnings.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2026-07-31T00:31:46Z</dcterms:created>
  <dcterms:modified xsi:type="dcterms:W3CDTF">2026-07-31T00:31:46Z</dcterms:modified>
</cp:coreProperties>
</file>

<file path=docProps/custom.xml><?xml version="1.0" encoding="utf-8"?>
<Properties xmlns="http://schemas.openxmlformats.org/officeDocument/2006/custom-properties" xmlns:vt="http://schemas.openxmlformats.org/officeDocument/2006/docPropsVTypes"/>
</file>