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Eaton Corporation (ETN)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Eaton Corporation plc</w:t>
            </w:r>
          </w:p>
        </w:tc>
      </w:tr>
      <w:tr>
        <w:tc>
          <w:tcPr>
            <w:tcW w:type="dxa" w:w="4320"/>
          </w:tcPr>
          <w:p>
            <w:r>
              <w:rPr>
                <w:rFonts w:ascii="Calibri" w:hAnsi="Calibri"/>
                <w:b/>
                <w:sz w:val="22"/>
              </w:rPr>
              <w:t>Ticker</w:t>
            </w:r>
          </w:p>
        </w:tc>
        <w:tc>
          <w:tcPr>
            <w:tcW w:type="dxa" w:w="4320"/>
          </w:tcPr>
          <w:p>
            <w:r>
              <w:rPr>
                <w:rFonts w:ascii="Calibri" w:hAnsi="Calibri"/>
                <w:sz w:val="22"/>
              </w:rPr>
              <w:t>ETN US</w:t>
            </w:r>
          </w:p>
        </w:tc>
      </w:tr>
      <w:tr>
        <w:tc>
          <w:tcPr>
            <w:tcW w:type="dxa" w:w="4320"/>
          </w:tcPr>
          <w:p>
            <w:r>
              <w:rPr>
                <w:rFonts w:ascii="Calibri" w:hAnsi="Calibri"/>
                <w:b/>
                <w:sz w:val="22"/>
              </w:rPr>
              <w:t>Upcoming Earnings Date</w:t>
            </w:r>
          </w:p>
        </w:tc>
        <w:tc>
          <w:tcPr>
            <w:tcW w:type="dxa" w:w="4320"/>
          </w:tcPr>
          <w:p>
            <w:r>
              <w:rPr>
                <w:rFonts w:ascii="Calibri" w:hAnsi="Calibri"/>
                <w:b/>
                <w:sz w:val="22"/>
              </w:rPr>
              <w:t>July 31, 2026 (Tomorrow)</w:t>
            </w:r>
          </w:p>
        </w:tc>
      </w:tr>
      <w:tr>
        <w:tc>
          <w:tcPr>
            <w:tcW w:type="dxa" w:w="4320"/>
          </w:tcPr>
          <w:p>
            <w:r>
              <w:rPr>
                <w:rFonts w:ascii="Calibri" w:hAnsi="Calibri"/>
                <w:b/>
                <w:sz w:val="22"/>
              </w:rPr>
              <w:t>Last Earnings Date</w:t>
            </w:r>
          </w:p>
        </w:tc>
        <w:tc>
          <w:tcPr>
            <w:tcW w:type="dxa" w:w="4320"/>
          </w:tcPr>
          <w:p>
            <w:r>
              <w:rPr>
                <w:rFonts w:ascii="Calibri" w:hAnsi="Calibri"/>
                <w:sz w:val="22"/>
              </w:rPr>
              <w:t>May 5, 2026 (Q1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Prepared Date</w:t>
            </w:r>
          </w:p>
        </w:tc>
        <w:tc>
          <w:tcPr>
            <w:tcW w:type="dxa" w:w="4320"/>
          </w:tcPr>
          <w:p>
            <w:r>
              <w:rPr>
                <w:rFonts w:ascii="Calibri" w:hAnsi="Calibri"/>
                <w:sz w:val="22"/>
              </w:rPr>
              <w:t>July 30,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is a manageable bar after Q1’s margin-driven reset, and the single biggest swing factor is whether </w:t>
      </w:r>
      <w:r>
        <w:rPr>
          <w:rFonts w:ascii="Calibri" w:hAnsi="Calibri"/>
          <w:b/>
          <w:color w:val="525866"/>
          <w:sz w:val="22"/>
        </w:rPr>
        <w:t>Electrical Americas margins deliver the guided +150 bps sequential improvement</w:t>
      </w:r>
      <w:r>
        <w:rPr>
          <w:rFonts w:ascii="Calibri" w:hAnsi="Calibri"/>
          <w:color w:val="525866"/>
          <w:sz w:val="22"/>
        </w:rPr>
        <w:t xml:space="preserve"> that management telegraphed on the Q1 call.</w:t>
      </w:r>
    </w:p>
    <w:p>
      <w:r>
        <w:rPr>
          <w:rFonts w:ascii="Calibri" w:hAnsi="Calibri"/>
          <w:color w:val="525866"/>
          <w:sz w:val="22"/>
        </w:rPr>
        <w:t>Heading into Q2 2026, the bar for ETN is achievable but not easy: consensus sits at ~$8.18B in revenue (+16% YoY) and ~$3.08 in adjusted diluted EPS, both of which represent a step-up from Q1’s already-strong print. Management’s posture on the Q1 call was notably confident on the revenue trajectory — raising full-year organic growth guidance by 200 bps to a 10% midpoint — while being more defensive on near-term margins, explicitly guiding Electrical Americas margins up 150 bps sequentially from Q1’s 25.6% to approximately 27.1% in Q2. Estimate revisions since the Q1 print have been broadly stable, with Q2 revenue consensus essentially unchanged and EPS ticking up modestly, suggesting the Street has absorbed the margin reset and is now focused on execution. The stock has underperformed meaningfully since Q1 earnings — down ~5.8% vs. XLI +3.5% and SPY +2.5% — reflecting lingering investor skepticism around the margin recovery trajectory, which means the stock is not pricing in a beat and any positive margin surprise could drive a sharp re-rating. The key wildcard is the pace of the April 1 price increase flowing through Electrical Americas P&amp;L: if pricing offsets commodity inflation faster than modeled, margins could surprise to the upside and reignite confidence in the 30%+ exit-rate target.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revenue expectations have been raised post-Q1 but the margin bar remains the bigger swing factor. </w:t>
      </w:r>
      <w:r>
        <w:rPr>
          <w:rFonts w:ascii="Calibri" w:hAnsi="Calibri"/>
          <w:b/>
          <w:color w:val="525866"/>
          <w:sz w:val="22"/>
        </w:rPr>
        <w:t>Electrical Americas operating margin is the single most important KPI</w:t>
      </w:r>
      <w:r>
        <w:rPr>
          <w:rFonts w:ascii="Calibri" w:hAnsi="Calibri"/>
          <w:color w:val="525866"/>
          <w:sz w:val="22"/>
        </w:rPr>
        <w:t xml:space="preserve"> heading into the print; a miss there drove the stock lower after Q1 despite a revenue beat.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 or Q2 where given)</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$7.45B</w:t>
            </w:r>
          </w:p>
        </w:tc>
        <w:tc>
          <w:tcPr>
            <w:tcW w:type="dxa" w:w="1234"/>
          </w:tcPr>
          <w:p>
            <w:r>
              <w:rPr>
                <w:rFonts w:ascii="Calibri" w:hAnsi="Calibri"/>
                <w:sz w:val="22"/>
              </w:rPr>
              <w:t>$7.03B</w:t>
            </w:r>
          </w:p>
        </w:tc>
        <w:tc>
          <w:tcPr>
            <w:tcW w:type="dxa" w:w="1234"/>
          </w:tcPr>
          <w:p>
            <w:r>
              <w:rPr>
                <w:rFonts w:ascii="Calibri" w:hAnsi="Calibri"/>
                <w:sz w:val="22"/>
              </w:rPr>
              <w:t>$8.18B</w:t>
            </w:r>
          </w:p>
        </w:tc>
        <w:tc>
          <w:tcPr>
            <w:tcW w:type="dxa" w:w="1234"/>
          </w:tcPr>
          <w:p>
            <w:r>
              <w:rPr>
                <w:rFonts w:ascii="Calibri" w:hAnsi="Calibri"/>
                <w:sz w:val="22"/>
              </w:rPr>
              <w:t>+16.3%</w:t>
            </w:r>
          </w:p>
        </w:tc>
        <w:tc>
          <w:tcPr>
            <w:tcW w:type="dxa" w:w="1234"/>
          </w:tcPr>
          <w:p>
            <w:r>
              <w:rPr>
                <w:rFonts w:ascii="Calibri" w:hAnsi="Calibri"/>
                <w:sz w:val="22"/>
              </w:rPr>
              <w:t>FY organic growth 9–11% (mid 10%)</w:t>
            </w:r>
          </w:p>
        </w:tc>
        <w:tc>
          <w:tcPr>
            <w:tcW w:type="dxa" w:w="1234"/>
          </w:tcPr>
          <w:p>
            <w:r>
              <w:rPr>
                <w:rFonts w:ascii="Calibri" w:hAnsi="Calibri"/>
                <w:sz w:val="22"/>
              </w:rPr>
              <w:t>Tracking above midpoint</w:t>
            </w:r>
          </w:p>
        </w:tc>
      </w:tr>
      <w:tr>
        <w:tc>
          <w:tcPr>
            <w:tcW w:type="dxa" w:w="1234"/>
          </w:tcPr>
          <w:p>
            <w:r>
              <w:rPr>
                <w:rFonts w:ascii="Calibri" w:hAnsi="Calibri"/>
                <w:sz w:val="22"/>
              </w:rPr>
              <w:t>Adj. Diluted EPS ($)</w:t>
            </w:r>
          </w:p>
        </w:tc>
        <w:tc>
          <w:tcPr>
            <w:tcW w:type="dxa" w:w="1234"/>
          </w:tcPr>
          <w:p>
            <w:r>
              <w:rPr>
                <w:rFonts w:ascii="Calibri" w:hAnsi="Calibri"/>
                <w:sz w:val="22"/>
              </w:rPr>
              <w:t>$2.81</w:t>
            </w:r>
          </w:p>
        </w:tc>
        <w:tc>
          <w:tcPr>
            <w:tcW w:type="dxa" w:w="1234"/>
          </w:tcPr>
          <w:p>
            <w:r>
              <w:rPr>
                <w:rFonts w:ascii="Calibri" w:hAnsi="Calibri"/>
                <w:sz w:val="22"/>
              </w:rPr>
              <w:t>$2.95</w:t>
            </w:r>
          </w:p>
        </w:tc>
        <w:tc>
          <w:tcPr>
            <w:tcW w:type="dxa" w:w="1234"/>
          </w:tcPr>
          <w:p>
            <w:r>
              <w:rPr>
                <w:rFonts w:ascii="Calibri" w:hAnsi="Calibri"/>
                <w:sz w:val="22"/>
              </w:rPr>
              <w:t>$3.08</w:t>
            </w:r>
          </w:p>
        </w:tc>
        <w:tc>
          <w:tcPr>
            <w:tcW w:type="dxa" w:w="1234"/>
          </w:tcPr>
          <w:p>
            <w:r>
              <w:rPr>
                <w:rFonts w:ascii="Calibri" w:hAnsi="Calibri"/>
                <w:sz w:val="22"/>
              </w:rPr>
              <w:t>+4.4%</w:t>
            </w:r>
          </w:p>
        </w:tc>
        <w:tc>
          <w:tcPr>
            <w:tcW w:type="dxa" w:w="1234"/>
          </w:tcPr>
          <w:p>
            <w:r>
              <w:rPr>
                <w:rFonts w:ascii="Calibri" w:hAnsi="Calibri"/>
                <w:sz w:val="22"/>
              </w:rPr>
              <w:t>FY $13.05–$13.50 (mid $13.28)</w:t>
            </w:r>
          </w:p>
        </w:tc>
        <w:tc>
          <w:tcPr>
            <w:tcW w:type="dxa" w:w="1234"/>
          </w:tcPr>
          <w:p>
            <w:r>
              <w:rPr>
                <w:rFonts w:ascii="Calibri" w:hAnsi="Calibri"/>
                <w:sz w:val="22"/>
              </w:rPr>
              <w:t>~$0.08 above Q2 implied run-rate</w:t>
            </w:r>
          </w:p>
        </w:tc>
      </w:tr>
      <w:tr>
        <w:tc>
          <w:tcPr>
            <w:tcW w:type="dxa" w:w="1234"/>
          </w:tcPr>
          <w:p>
            <w:r>
              <w:rPr>
                <w:rFonts w:ascii="Calibri" w:hAnsi="Calibri"/>
                <w:sz w:val="22"/>
              </w:rPr>
              <w:t>Electrical Americas Revenue ($B)</w:t>
            </w:r>
          </w:p>
        </w:tc>
        <w:tc>
          <w:tcPr>
            <w:tcW w:type="dxa" w:w="1234"/>
          </w:tcPr>
          <w:p>
            <w:r>
              <w:rPr>
                <w:rFonts w:ascii="Calibri" w:hAnsi="Calibri"/>
                <w:sz w:val="22"/>
              </w:rPr>
              <w:t>$3.60B</w:t>
            </w:r>
          </w:p>
        </w:tc>
        <w:tc>
          <w:tcPr>
            <w:tcW w:type="dxa" w:w="1234"/>
          </w:tcPr>
          <w:p>
            <w:r>
              <w:rPr>
                <w:rFonts w:ascii="Calibri" w:hAnsi="Calibri"/>
                <w:sz w:val="22"/>
              </w:rPr>
              <w:t>$3.35B</w:t>
            </w:r>
          </w:p>
        </w:tc>
        <w:tc>
          <w:tcPr>
            <w:tcW w:type="dxa" w:w="1234"/>
          </w:tcPr>
          <w:p>
            <w:r>
              <w:rPr>
                <w:rFonts w:ascii="Calibri" w:hAnsi="Calibri"/>
                <w:sz w:val="22"/>
              </w:rPr>
              <w:t>$3.82B</w:t>
            </w:r>
          </w:p>
        </w:tc>
        <w:tc>
          <w:tcPr>
            <w:tcW w:type="dxa" w:w="1234"/>
          </w:tcPr>
          <w:p>
            <w:r>
              <w:rPr>
                <w:rFonts w:ascii="Calibri" w:hAnsi="Calibri"/>
                <w:sz w:val="22"/>
              </w:rPr>
              <w:t>+14.0%</w:t>
            </w:r>
          </w:p>
        </w:tc>
        <w:tc>
          <w:tcPr>
            <w:tcW w:type="dxa" w:w="1234"/>
          </w:tcPr>
          <w:p>
            <w:r>
              <w:rPr>
                <w:rFonts w:ascii="Calibri" w:hAnsi="Calibri"/>
                <w:sz w:val="22"/>
              </w:rPr>
              <w:t>FY organic growth ~14% (mid)</w:t>
            </w:r>
          </w:p>
        </w:tc>
        <w:tc>
          <w:tcPr>
            <w:tcW w:type="dxa" w:w="1234"/>
          </w:tcPr>
          <w:p>
            <w:r>
              <w:rPr>
                <w:rFonts w:ascii="Calibri" w:hAnsi="Calibri"/>
                <w:sz w:val="22"/>
              </w:rPr>
              <w:t>Tracking in line</w:t>
            </w:r>
          </w:p>
        </w:tc>
      </w:tr>
      <w:tr>
        <w:tc>
          <w:tcPr>
            <w:tcW w:type="dxa" w:w="1234"/>
          </w:tcPr>
          <w:p>
            <w:r>
              <w:rPr>
                <w:rFonts w:ascii="Calibri" w:hAnsi="Calibri"/>
                <w:sz w:val="22"/>
              </w:rPr>
              <w:t>Electrical Americas Op. Margin (%)</w:t>
            </w:r>
          </w:p>
        </w:tc>
        <w:tc>
          <w:tcPr>
            <w:tcW w:type="dxa" w:w="1234"/>
          </w:tcPr>
          <w:p>
            <w:r>
              <w:rPr>
                <w:rFonts w:ascii="Calibri" w:hAnsi="Calibri"/>
                <w:sz w:val="22"/>
              </w:rPr>
              <w:t>25.6%</w:t>
            </w:r>
          </w:p>
        </w:tc>
        <w:tc>
          <w:tcPr>
            <w:tcW w:type="dxa" w:w="1234"/>
          </w:tcPr>
          <w:p>
            <w:r>
              <w:rPr>
                <w:rFonts w:ascii="Calibri" w:hAnsi="Calibri"/>
                <w:sz w:val="22"/>
              </w:rPr>
              <w:t>29.5%</w:t>
            </w:r>
          </w:p>
        </w:tc>
        <w:tc>
          <w:tcPr>
            <w:tcW w:type="dxa" w:w="1234"/>
          </w:tcPr>
          <w:p>
            <w:r>
              <w:rPr>
                <w:rFonts w:ascii="Calibri" w:hAnsi="Calibri"/>
                <w:sz w:val="22"/>
              </w:rPr>
              <w:t>26.9%</w:t>
            </w:r>
          </w:p>
        </w:tc>
        <w:tc>
          <w:tcPr>
            <w:tcW w:type="dxa" w:w="1234"/>
          </w:tcPr>
          <w:p>
            <w:r>
              <w:rPr>
                <w:rFonts w:ascii="Calibri" w:hAnsi="Calibri"/>
                <w:sz w:val="22"/>
              </w:rPr>
              <w:t>-260 bps YoY</w:t>
            </w:r>
          </w:p>
        </w:tc>
        <w:tc>
          <w:tcPr>
            <w:tcW w:type="dxa" w:w="1234"/>
          </w:tcPr>
          <w:p>
            <w:r>
              <w:rPr>
                <w:rFonts w:ascii="Calibri" w:hAnsi="Calibri"/>
                <w:sz w:val="22"/>
              </w:rPr>
              <w:t>+150 bps seq. from Q1 (mgmt guided); exit rate &gt;30%</w:t>
            </w:r>
          </w:p>
        </w:tc>
        <w:tc>
          <w:tcPr>
            <w:tcW w:type="dxa" w:w="1234"/>
          </w:tcPr>
          <w:p>
            <w:r>
              <w:rPr>
                <w:rFonts w:ascii="Calibri" w:hAnsi="Calibri"/>
                <w:sz w:val="22"/>
              </w:rPr>
              <w:t>~27.1% implied; consensus at 26.9%</w:t>
            </w:r>
          </w:p>
        </w:tc>
      </w:tr>
      <w:tr>
        <w:tc>
          <w:tcPr>
            <w:tcW w:type="dxa" w:w="1234"/>
          </w:tcPr>
          <w:p>
            <w:r>
              <w:rPr>
                <w:rFonts w:ascii="Calibri" w:hAnsi="Calibri"/>
                <w:sz w:val="22"/>
              </w:rPr>
              <w:t>Electrical Global Revenue ($B)</w:t>
            </w:r>
          </w:p>
        </w:tc>
        <w:tc>
          <w:tcPr>
            <w:tcW w:type="dxa" w:w="1234"/>
          </w:tcPr>
          <w:p>
            <w:r>
              <w:rPr>
                <w:rFonts w:ascii="Calibri" w:hAnsi="Calibri"/>
                <w:sz w:val="22"/>
              </w:rPr>
              <w:t>$1.95B</w:t>
            </w:r>
          </w:p>
        </w:tc>
        <w:tc>
          <w:tcPr>
            <w:tcW w:type="dxa" w:w="1234"/>
          </w:tcPr>
          <w:p>
            <w:r>
              <w:rPr>
                <w:rFonts w:ascii="Calibri" w:hAnsi="Calibri"/>
                <w:sz w:val="22"/>
              </w:rPr>
              <w:t>$1.75B</w:t>
            </w:r>
          </w:p>
        </w:tc>
        <w:tc>
          <w:tcPr>
            <w:tcW w:type="dxa" w:w="1234"/>
          </w:tcPr>
          <w:p>
            <w:r>
              <w:rPr>
                <w:rFonts w:ascii="Calibri" w:hAnsi="Calibri"/>
                <w:sz w:val="22"/>
              </w:rPr>
              <w:t>$2.27B</w:t>
            </w:r>
          </w:p>
        </w:tc>
        <w:tc>
          <w:tcPr>
            <w:tcW w:type="dxa" w:w="1234"/>
          </w:tcPr>
          <w:p>
            <w:r>
              <w:rPr>
                <w:rFonts w:ascii="Calibri" w:hAnsi="Calibri"/>
                <w:sz w:val="22"/>
              </w:rPr>
              <w:t>+29.8%</w:t>
            </w:r>
          </w:p>
        </w:tc>
        <w:tc>
          <w:tcPr>
            <w:tcW w:type="dxa" w:w="1234"/>
          </w:tcPr>
          <w:p>
            <w:r>
              <w:rPr>
                <w:rFonts w:ascii="Calibri" w:hAnsi="Calibri"/>
                <w:sz w:val="22"/>
              </w:rPr>
              <w:t>FY organic growth raised +300 bps</w:t>
            </w:r>
          </w:p>
        </w:tc>
        <w:tc>
          <w:tcPr>
            <w:tcW w:type="dxa" w:w="1234"/>
          </w:tcPr>
          <w:p>
            <w:r>
              <w:rPr>
                <w:rFonts w:ascii="Calibri" w:hAnsi="Calibri"/>
                <w:sz w:val="22"/>
              </w:rPr>
              <w:t>Tracking above prior guide</w:t>
            </w:r>
          </w:p>
        </w:tc>
      </w:tr>
      <w:tr>
        <w:tc>
          <w:tcPr>
            <w:tcW w:type="dxa" w:w="1234"/>
          </w:tcPr>
          <w:p>
            <w:r>
              <w:rPr>
                <w:rFonts w:ascii="Calibri" w:hAnsi="Calibri"/>
                <w:sz w:val="22"/>
              </w:rPr>
              <w:t>Electrical Global Op. Margin (%)</w:t>
            </w:r>
          </w:p>
        </w:tc>
        <w:tc>
          <w:tcPr>
            <w:tcW w:type="dxa" w:w="1234"/>
          </w:tcPr>
          <w:p>
            <w:r>
              <w:rPr>
                <w:rFonts w:ascii="Calibri" w:hAnsi="Calibri"/>
                <w:sz w:val="22"/>
              </w:rPr>
              <w:t>19.2%</w:t>
            </w:r>
          </w:p>
        </w:tc>
        <w:tc>
          <w:tcPr>
            <w:tcW w:type="dxa" w:w="1234"/>
          </w:tcPr>
          <w:p>
            <w:r>
              <w:rPr>
                <w:rFonts w:ascii="Calibri" w:hAnsi="Calibri"/>
                <w:sz w:val="22"/>
              </w:rPr>
              <w:t>20.1%</w:t>
            </w:r>
          </w:p>
        </w:tc>
        <w:tc>
          <w:tcPr>
            <w:tcW w:type="dxa" w:w="1234"/>
          </w:tcPr>
          <w:p>
            <w:r>
              <w:rPr>
                <w:rFonts w:ascii="Calibri" w:hAnsi="Calibri"/>
                <w:sz w:val="22"/>
              </w:rPr>
              <w:t>19.6%</w:t>
            </w:r>
          </w:p>
        </w:tc>
        <w:tc>
          <w:tcPr>
            <w:tcW w:type="dxa" w:w="1234"/>
          </w:tcPr>
          <w:p>
            <w:r>
              <w:rPr>
                <w:rFonts w:ascii="Calibri" w:hAnsi="Calibri"/>
                <w:sz w:val="22"/>
              </w:rPr>
              <w:t>-50 bps YoY</w:t>
            </w:r>
          </w:p>
        </w:tc>
        <w:tc>
          <w:tcPr>
            <w:tcW w:type="dxa" w:w="1234"/>
          </w:tcPr>
          <w:p>
            <w:r>
              <w:rPr>
                <w:rFonts w:ascii="Calibri" w:hAnsi="Calibri"/>
                <w:sz w:val="22"/>
              </w:rPr>
              <w:t>FY ~19.8%</w:t>
            </w:r>
          </w:p>
        </w:tc>
        <w:tc>
          <w:tcPr>
            <w:tcW w:type="dxa" w:w="1234"/>
          </w:tcPr>
          <w:p>
            <w:r>
              <w:rPr>
                <w:rFonts w:ascii="Calibri" w:hAnsi="Calibri"/>
                <w:sz w:val="22"/>
              </w:rPr>
              <w:t>Slightly below FY run-rate</w:t>
            </w:r>
          </w:p>
        </w:tc>
      </w:tr>
      <w:tr>
        <w:tc>
          <w:tcPr>
            <w:tcW w:type="dxa" w:w="1234"/>
          </w:tcPr>
          <w:p>
            <w:r>
              <w:rPr>
                <w:rFonts w:ascii="Calibri" w:hAnsi="Calibri"/>
                <w:sz w:val="22"/>
              </w:rPr>
              <w:t>Aerospace Revenue ($B)</w:t>
            </w:r>
          </w:p>
        </w:tc>
        <w:tc>
          <w:tcPr>
            <w:tcW w:type="dxa" w:w="1234"/>
          </w:tcPr>
          <w:p>
            <w:r>
              <w:rPr>
                <w:rFonts w:ascii="Calibri" w:hAnsi="Calibri"/>
                <w:sz w:val="22"/>
              </w:rPr>
              <w:t>$1.14B</w:t>
            </w:r>
          </w:p>
        </w:tc>
        <w:tc>
          <w:tcPr>
            <w:tcW w:type="dxa" w:w="1234"/>
          </w:tcPr>
          <w:p>
            <w:r>
              <w:rPr>
                <w:rFonts w:ascii="Calibri" w:hAnsi="Calibri"/>
                <w:sz w:val="22"/>
              </w:rPr>
              <w:t>$1.08B</w:t>
            </w:r>
          </w:p>
        </w:tc>
        <w:tc>
          <w:tcPr>
            <w:tcW w:type="dxa" w:w="1234"/>
          </w:tcPr>
          <w:p>
            <w:r>
              <w:rPr>
                <w:rFonts w:ascii="Calibri" w:hAnsi="Calibri"/>
                <w:sz w:val="22"/>
              </w:rPr>
              <w:t>$1.24B</w:t>
            </w:r>
          </w:p>
        </w:tc>
        <w:tc>
          <w:tcPr>
            <w:tcW w:type="dxa" w:w="1234"/>
          </w:tcPr>
          <w:p>
            <w:r>
              <w:rPr>
                <w:rFonts w:ascii="Calibri" w:hAnsi="Calibri"/>
                <w:sz w:val="22"/>
              </w:rPr>
              <w:t>+14.8%</w:t>
            </w:r>
          </w:p>
        </w:tc>
        <w:tc>
          <w:tcPr>
            <w:tcW w:type="dxa" w:w="1234"/>
          </w:tcPr>
          <w:p>
            <w:r>
              <w:rPr>
                <w:rFonts w:ascii="Calibri" w:hAnsi="Calibri"/>
                <w:sz w:val="22"/>
              </w:rPr>
              <w:t>FY organic growth ~9%</w:t>
            </w:r>
          </w:p>
        </w:tc>
        <w:tc>
          <w:tcPr>
            <w:tcW w:type="dxa" w:w="1234"/>
          </w:tcPr>
          <w:p>
            <w:r>
              <w:rPr>
                <w:rFonts w:ascii="Calibri" w:hAnsi="Calibri"/>
                <w:sz w:val="22"/>
              </w:rPr>
              <w:t>Tracking above FY run-rate</w:t>
            </w:r>
          </w:p>
        </w:tc>
      </w:tr>
      <w:tr>
        <w:tc>
          <w:tcPr>
            <w:tcW w:type="dxa" w:w="1234"/>
          </w:tcPr>
          <w:p>
            <w:r>
              <w:rPr>
                <w:rFonts w:ascii="Calibri" w:hAnsi="Calibri"/>
                <w:sz w:val="22"/>
              </w:rPr>
              <w:t>Aerospace Op. Margin (%)</w:t>
            </w:r>
          </w:p>
        </w:tc>
        <w:tc>
          <w:tcPr>
            <w:tcW w:type="dxa" w:w="1234"/>
          </w:tcPr>
          <w:p>
            <w:r>
              <w:rPr>
                <w:rFonts w:ascii="Calibri" w:hAnsi="Calibri"/>
                <w:sz w:val="22"/>
              </w:rPr>
              <w:t>26.7%</w:t>
            </w:r>
          </w:p>
        </w:tc>
        <w:tc>
          <w:tcPr>
            <w:tcW w:type="dxa" w:w="1234"/>
          </w:tcPr>
          <w:p>
            <w:r>
              <w:rPr>
                <w:rFonts w:ascii="Calibri" w:hAnsi="Calibri"/>
                <w:sz w:val="22"/>
              </w:rPr>
              <w:t>22.2%</w:t>
            </w:r>
          </w:p>
        </w:tc>
        <w:tc>
          <w:tcPr>
            <w:tcW w:type="dxa" w:w="1234"/>
          </w:tcPr>
          <w:p>
            <w:r>
              <w:rPr>
                <w:rFonts w:ascii="Calibri" w:hAnsi="Calibri"/>
                <w:sz w:val="22"/>
              </w:rPr>
              <w:t>22.6%</w:t>
            </w:r>
          </w:p>
        </w:tc>
        <w:tc>
          <w:tcPr>
            <w:tcW w:type="dxa" w:w="1234"/>
          </w:tcPr>
          <w:p>
            <w:r>
              <w:rPr>
                <w:rFonts w:ascii="Calibri" w:hAnsi="Calibri"/>
                <w:sz w:val="22"/>
              </w:rPr>
              <w:t>+40 bps YoY</w:t>
            </w:r>
          </w:p>
        </w:tc>
        <w:tc>
          <w:tcPr>
            <w:tcW w:type="dxa" w:w="1234"/>
          </w:tcPr>
          <w:p>
            <w:r>
              <w:rPr>
                <w:rFonts w:ascii="Calibri" w:hAnsi="Calibri"/>
                <w:sz w:val="22"/>
              </w:rPr>
              <w:t>FY ~24.6%</w:t>
            </w:r>
          </w:p>
        </w:tc>
        <w:tc>
          <w:tcPr>
            <w:tcW w:type="dxa" w:w="1234"/>
          </w:tcPr>
          <w:p>
            <w:r>
              <w:rPr>
                <w:rFonts w:ascii="Calibri" w:hAnsi="Calibri"/>
                <w:sz w:val="22"/>
              </w:rPr>
              <w:t>Below FY guide; Q1 was elevated</w:t>
            </w:r>
          </w:p>
        </w:tc>
      </w:tr>
      <w:tr>
        <w:tc>
          <w:tcPr>
            <w:tcW w:type="dxa" w:w="1234"/>
          </w:tcPr>
          <w:p>
            <w:r>
              <w:rPr>
                <w:rFonts w:ascii="Calibri" w:hAnsi="Calibri"/>
                <w:sz w:val="22"/>
              </w:rPr>
              <w:t>Segment Op. Margin (%)</w:t>
            </w:r>
          </w:p>
        </w:tc>
        <w:tc>
          <w:tcPr>
            <w:tcW w:type="dxa" w:w="1234"/>
          </w:tcPr>
          <w:p>
            <w:r>
              <w:rPr>
                <w:rFonts w:ascii="Calibri" w:hAnsi="Calibri"/>
                <w:sz w:val="22"/>
              </w:rPr>
              <w:t>22.7%</w:t>
            </w:r>
          </w:p>
        </w:tc>
        <w:tc>
          <w:tcPr>
            <w:tcW w:type="dxa" w:w="1234"/>
          </w:tcPr>
          <w:p>
            <w:r>
              <w:rPr>
                <w:rFonts w:ascii="Calibri" w:hAnsi="Calibri"/>
                <w:sz w:val="22"/>
              </w:rPr>
              <w:t>23.9%</w:t>
            </w:r>
          </w:p>
        </w:tc>
        <w:tc>
          <w:tcPr>
            <w:tcW w:type="dxa" w:w="1234"/>
          </w:tcPr>
          <w:p>
            <w:r>
              <w:rPr>
                <w:rFonts w:ascii="Calibri" w:hAnsi="Calibri"/>
                <w:sz w:val="22"/>
              </w:rPr>
              <w:t>22.7%</w:t>
            </w:r>
          </w:p>
        </w:tc>
        <w:tc>
          <w:tcPr>
            <w:tcW w:type="dxa" w:w="1234"/>
          </w:tcPr>
          <w:p>
            <w:r>
              <w:rPr>
                <w:rFonts w:ascii="Calibri" w:hAnsi="Calibri"/>
                <w:sz w:val="22"/>
              </w:rPr>
              <w:t>-120 bps YoY</w:t>
            </w:r>
          </w:p>
        </w:tc>
        <w:tc>
          <w:tcPr>
            <w:tcW w:type="dxa" w:w="1234"/>
          </w:tcPr>
          <w:p>
            <w:r>
              <w:rPr>
                <w:rFonts w:ascii="Calibri" w:hAnsi="Calibri"/>
                <w:sz w:val="22"/>
              </w:rPr>
              <w:t>FY 24.1%–24.5% (mid 24.3%)</w:t>
            </w:r>
          </w:p>
        </w:tc>
        <w:tc>
          <w:tcPr>
            <w:tcW w:type="dxa" w:w="1234"/>
          </w:tcPr>
          <w:p>
            <w:r>
              <w:rPr>
                <w:rFonts w:ascii="Calibri" w:hAnsi="Calibri"/>
                <w:sz w:val="22"/>
              </w:rPr>
              <w:t>Below FY guide; H2 ramp needed</w:t>
            </w:r>
          </w:p>
        </w:tc>
      </w:tr>
      <w:tr>
        <w:tc>
          <w:tcPr>
            <w:tcW w:type="dxa" w:w="1234"/>
          </w:tcPr>
          <w:p>
            <w:r>
              <w:rPr>
                <w:rFonts w:ascii="Calibri" w:hAnsi="Calibri"/>
                <w:sz w:val="22"/>
              </w:rPr>
              <w:t>Free Cash Flow ($B)</w:t>
            </w:r>
          </w:p>
        </w:tc>
        <w:tc>
          <w:tcPr>
            <w:tcW w:type="dxa" w:w="1234"/>
          </w:tcPr>
          <w:p>
            <w:r>
              <w:rPr>
                <w:rFonts w:ascii="Calibri" w:hAnsi="Calibri"/>
                <w:sz w:val="22"/>
              </w:rPr>
              <w:t>$0.31B</w:t>
            </w:r>
          </w:p>
        </w:tc>
        <w:tc>
          <w:tcPr>
            <w:tcW w:type="dxa" w:w="1234"/>
          </w:tcPr>
          <w:p>
            <w:r>
              <w:rPr>
                <w:rFonts w:ascii="Calibri" w:hAnsi="Calibri"/>
                <w:sz w:val="22"/>
              </w:rPr>
              <w:t>$0.72B</w:t>
            </w:r>
          </w:p>
        </w:tc>
        <w:tc>
          <w:tcPr>
            <w:tcW w:type="dxa" w:w="1234"/>
          </w:tcPr>
          <w:p>
            <w:r>
              <w:rPr>
                <w:rFonts w:ascii="Calibri" w:hAnsi="Calibri"/>
                <w:sz w:val="22"/>
              </w:rPr>
              <w:t>$0.81B</w:t>
            </w:r>
          </w:p>
        </w:tc>
        <w:tc>
          <w:tcPr>
            <w:tcW w:type="dxa" w:w="1234"/>
          </w:tcPr>
          <w:p>
            <w:r>
              <w:rPr>
                <w:rFonts w:ascii="Calibri" w:hAnsi="Calibri"/>
                <w:sz w:val="22"/>
              </w:rPr>
              <w:t>+12.5%</w:t>
            </w:r>
          </w:p>
        </w:tc>
        <w:tc>
          <w:tcPr>
            <w:tcW w:type="dxa" w:w="1234"/>
          </w:tcPr>
          <w:p>
            <w:r>
              <w:rPr>
                <w:rFonts w:ascii="Calibri" w:hAnsi="Calibri"/>
                <w:sz w:val="22"/>
              </w:rPr>
              <w:t>FY $3.9–$4.3B (mid $4.1B)</w:t>
            </w:r>
          </w:p>
        </w:tc>
        <w:tc>
          <w:tcPr>
            <w:tcW w:type="dxa" w:w="1234"/>
          </w:tcPr>
          <w:p>
            <w:r>
              <w:rPr>
                <w:rFonts w:ascii="Calibri" w:hAnsi="Calibri"/>
                <w:sz w:val="22"/>
              </w:rPr>
              <w:t>Tracking in line with FY pace</w:t>
            </w:r>
          </w:p>
        </w:tc>
      </w:tr>
      <w:tr>
        <w:tc>
          <w:tcPr>
            <w:tcW w:type="dxa" w:w="1234"/>
          </w:tcPr>
          <w:p>
            <w:r>
              <w:rPr>
                <w:rFonts w:ascii="Calibri" w:hAnsi="Calibri"/>
                <w:sz w:val="22"/>
              </w:rPr>
              <w:t>Organic Growth — Total (%)</w:t>
            </w:r>
          </w:p>
        </w:tc>
        <w:tc>
          <w:tcPr>
            <w:tcW w:type="dxa" w:w="1234"/>
          </w:tcPr>
          <w:p>
            <w:r>
              <w:rPr>
                <w:rFonts w:ascii="Calibri" w:hAnsi="Calibri"/>
                <w:sz w:val="22"/>
              </w:rPr>
              <w:t>10.0%</w:t>
            </w:r>
          </w:p>
        </w:tc>
        <w:tc>
          <w:tcPr>
            <w:tcW w:type="dxa" w:w="1234"/>
          </w:tcPr>
          <w:p>
            <w:r>
              <w:rPr>
                <w:rFonts w:ascii="Calibri" w:hAnsi="Calibri"/>
                <w:sz w:val="22"/>
              </w:rPr>
              <w:t>7.7%</w:t>
            </w:r>
          </w:p>
        </w:tc>
        <w:tc>
          <w:tcPr>
            <w:tcW w:type="dxa" w:w="1234"/>
          </w:tcPr>
          <w:p>
            <w:r>
              <w:rPr>
                <w:rFonts w:ascii="Calibri" w:hAnsi="Calibri"/>
                <w:sz w:val="22"/>
              </w:rPr>
              <w:t>10.1%</w:t>
            </w:r>
          </w:p>
        </w:tc>
        <w:tc>
          <w:tcPr>
            <w:tcW w:type="dxa" w:w="1234"/>
          </w:tcPr>
          <w:p>
            <w:r>
              <w:rPr>
                <w:rFonts w:ascii="Calibri" w:hAnsi="Calibri"/>
                <w:sz w:val="22"/>
              </w:rPr>
              <w:t>+240 bps YoY</w:t>
            </w:r>
          </w:p>
        </w:tc>
        <w:tc>
          <w:tcPr>
            <w:tcW w:type="dxa" w:w="1234"/>
          </w:tcPr>
          <w:p>
            <w:r>
              <w:rPr>
                <w:rFonts w:ascii="Calibri" w:hAnsi="Calibri"/>
                <w:sz w:val="22"/>
              </w:rPr>
              <w:t>FY 9–11% (mid 10%)</w:t>
            </w:r>
          </w:p>
        </w:tc>
        <w:tc>
          <w:tcPr>
            <w:tcW w:type="dxa" w:w="1234"/>
          </w:tcPr>
          <w:p>
            <w:r>
              <w:rPr>
                <w:rFonts w:ascii="Calibri" w:hAnsi="Calibri"/>
                <w:sz w:val="22"/>
              </w:rPr>
              <w:t>In line with FY midpoint</w:t>
            </w:r>
          </w:p>
        </w:tc>
      </w:tr>
    </w:tbl>
    <w:p>
      <w:r>
        <w:rPr>
          <w:rFonts w:ascii="Calibri" w:hAnsi="Calibri"/>
          <w:i/>
          <w:color w:val="525866"/>
          <w:sz w:val="22"/>
        </w:rPr>
        <w:t>Source: Visible Alpha Consensus and Actuals Data. All consensus figures as of July 30, 2026. Guidance from Q1 2026 earnings call (May 5,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(1) Net Sales, (2) Adjusted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$7.45B</w:t>
            </w:r>
          </w:p>
        </w:tc>
        <w:tc>
          <w:tcPr>
            <w:tcW w:type="dxa" w:w="1440"/>
          </w:tcPr>
          <w:p>
            <w:r>
              <w:rPr>
                <w:rFonts w:ascii="Calibri" w:hAnsi="Calibri"/>
                <w:sz w:val="22"/>
              </w:rPr>
              <w:t>$7.14B</w:t>
            </w:r>
          </w:p>
        </w:tc>
        <w:tc>
          <w:tcPr>
            <w:tcW w:type="dxa" w:w="1440"/>
          </w:tcPr>
          <w:p>
            <w:r>
              <w:rPr>
                <w:rFonts w:ascii="Calibri" w:hAnsi="Calibri"/>
                <w:b/>
                <w:color w:val="30A46C"/>
                <w:sz w:val="22"/>
              </w:rPr>
              <w:t>+4.3%</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Diluted EPS</w:t>
            </w:r>
          </w:p>
        </w:tc>
        <w:tc>
          <w:tcPr>
            <w:tcW w:type="dxa" w:w="1440"/>
          </w:tcPr>
          <w:p>
            <w:r>
              <w:rPr>
                <w:rFonts w:ascii="Calibri" w:hAnsi="Calibri"/>
                <w:sz w:val="22"/>
              </w:rPr>
              <w:t>$2.81</w:t>
            </w:r>
          </w:p>
        </w:tc>
        <w:tc>
          <w:tcPr>
            <w:tcW w:type="dxa" w:w="1440"/>
          </w:tcPr>
          <w:p>
            <w:r>
              <w:rPr>
                <w:rFonts w:ascii="Calibri" w:hAnsi="Calibri"/>
                <w:sz w:val="22"/>
              </w:rPr>
              <w:t>$2.75</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$7.06B</w:t>
            </w:r>
          </w:p>
        </w:tc>
        <w:tc>
          <w:tcPr>
            <w:tcW w:type="dxa" w:w="1440"/>
          </w:tcPr>
          <w:p>
            <w:r>
              <w:rPr>
                <w:rFonts w:ascii="Calibri" w:hAnsi="Calibri"/>
                <w:sz w:val="22"/>
              </w:rPr>
              <w:t>$7.10B</w:t>
            </w:r>
          </w:p>
        </w:tc>
        <w:tc>
          <w:tcPr>
            <w:tcW w:type="dxa" w:w="1440"/>
          </w:tcPr>
          <w:p>
            <w:r>
              <w:rPr>
                <w:rFonts w:ascii="Calibri" w:hAnsi="Calibri"/>
                <w:b/>
                <w:color w:val="E5484D"/>
                <w:sz w:val="22"/>
              </w:rPr>
              <w:t>-0.6%</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Diluted EPS</w:t>
            </w:r>
          </w:p>
        </w:tc>
        <w:tc>
          <w:tcPr>
            <w:tcW w:type="dxa" w:w="1440"/>
          </w:tcPr>
          <w:p>
            <w:r>
              <w:rPr>
                <w:rFonts w:ascii="Calibri" w:hAnsi="Calibri"/>
                <w:sz w:val="22"/>
              </w:rPr>
              <w:t>$3.33</w:t>
            </w:r>
          </w:p>
        </w:tc>
        <w:tc>
          <w:tcPr>
            <w:tcW w:type="dxa" w:w="1440"/>
          </w:tcPr>
          <w:p>
            <w:r>
              <w:rPr>
                <w:rFonts w:ascii="Calibri" w:hAnsi="Calibri"/>
                <w:sz w:val="22"/>
              </w:rPr>
              <w:t>$3.32</w:t>
            </w:r>
          </w:p>
        </w:tc>
        <w:tc>
          <w:tcPr>
            <w:tcW w:type="dxa" w:w="1440"/>
          </w:tcPr>
          <w:p>
            <w:r>
              <w:rPr>
                <w:rFonts w:ascii="Calibri" w:hAnsi="Calibri"/>
                <w:sz w:val="22"/>
              </w:rPr>
              <w:t>+0.3%</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$6.99B</w:t>
            </w:r>
          </w:p>
        </w:tc>
        <w:tc>
          <w:tcPr>
            <w:tcW w:type="dxa" w:w="1440"/>
          </w:tcPr>
          <w:p>
            <w:r>
              <w:rPr>
                <w:rFonts w:ascii="Calibri" w:hAnsi="Calibri"/>
                <w:sz w:val="22"/>
              </w:rPr>
              <w:t>$7.09B</w:t>
            </w:r>
          </w:p>
        </w:tc>
        <w:tc>
          <w:tcPr>
            <w:tcW w:type="dxa" w:w="1440"/>
          </w:tcPr>
          <w:p>
            <w:r>
              <w:rPr>
                <w:rFonts w:ascii="Calibri" w:hAnsi="Calibri"/>
                <w:b/>
                <w:color w:val="E5484D"/>
                <w:sz w:val="22"/>
              </w:rPr>
              <w:t>-1.4%</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Diluted EPS</w:t>
            </w:r>
          </w:p>
        </w:tc>
        <w:tc>
          <w:tcPr>
            <w:tcW w:type="dxa" w:w="1440"/>
          </w:tcPr>
          <w:p>
            <w:r>
              <w:rPr>
                <w:rFonts w:ascii="Calibri" w:hAnsi="Calibri"/>
                <w:sz w:val="22"/>
              </w:rPr>
              <w:t>$3.07</w:t>
            </w:r>
          </w:p>
        </w:tc>
        <w:tc>
          <w:tcPr>
            <w:tcW w:type="dxa" w:w="1440"/>
          </w:tcPr>
          <w:p>
            <w:r>
              <w:rPr>
                <w:rFonts w:ascii="Calibri" w:hAnsi="Calibri"/>
                <w:sz w:val="22"/>
              </w:rPr>
              <w:t>$3.05</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$7.03B</w:t>
            </w:r>
          </w:p>
        </w:tc>
        <w:tc>
          <w:tcPr>
            <w:tcW w:type="dxa" w:w="1440"/>
          </w:tcPr>
          <w:p>
            <w:r>
              <w:rPr>
                <w:rFonts w:ascii="Calibri" w:hAnsi="Calibri"/>
                <w:sz w:val="22"/>
              </w:rPr>
              <w:t>$6.91B</w:t>
            </w:r>
          </w:p>
        </w:tc>
        <w:tc>
          <w:tcPr>
            <w:tcW w:type="dxa" w:w="1440"/>
          </w:tcPr>
          <w:p>
            <w:r>
              <w:rPr>
                <w:rFonts w:ascii="Calibri" w:hAnsi="Calibri"/>
                <w:b/>
                <w:color w:val="30A46C"/>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Diluted EPS</w:t>
            </w:r>
          </w:p>
        </w:tc>
        <w:tc>
          <w:tcPr>
            <w:tcW w:type="dxa" w:w="1440"/>
          </w:tcPr>
          <w:p>
            <w:r>
              <w:rPr>
                <w:rFonts w:ascii="Calibri" w:hAnsi="Calibri"/>
                <w:sz w:val="22"/>
              </w:rPr>
              <w:t>$2.95</w:t>
            </w:r>
          </w:p>
        </w:tc>
        <w:tc>
          <w:tcPr>
            <w:tcW w:type="dxa" w:w="1440"/>
          </w:tcPr>
          <w:p>
            <w:r>
              <w:rPr>
                <w:rFonts w:ascii="Calibri" w:hAnsi="Calibri"/>
                <w:sz w:val="22"/>
              </w:rPr>
              <w:t>$2.91</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$6.38B</w:t>
            </w:r>
          </w:p>
        </w:tc>
        <w:tc>
          <w:tcPr>
            <w:tcW w:type="dxa" w:w="1440"/>
          </w:tcPr>
          <w:p>
            <w:r>
              <w:rPr>
                <w:rFonts w:ascii="Calibri" w:hAnsi="Calibri"/>
                <w:sz w:val="22"/>
              </w:rPr>
              <w:t>$6.28B</w:t>
            </w:r>
          </w:p>
        </w:tc>
        <w:tc>
          <w:tcPr>
            <w:tcW w:type="dxa" w:w="1440"/>
          </w:tcPr>
          <w:p>
            <w:r>
              <w:rPr>
                <w:rFonts w:ascii="Calibri" w:hAnsi="Calibri"/>
                <w:b/>
                <w:color w:val="30A46C"/>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Diluted EPS</w:t>
            </w:r>
          </w:p>
        </w:tc>
        <w:tc>
          <w:tcPr>
            <w:tcW w:type="dxa" w:w="1440"/>
          </w:tcPr>
          <w:p>
            <w:r>
              <w:rPr>
                <w:rFonts w:ascii="Calibri" w:hAnsi="Calibri"/>
                <w:sz w:val="22"/>
              </w:rPr>
              <w:t>$2.72</w:t>
            </w:r>
          </w:p>
        </w:tc>
        <w:tc>
          <w:tcPr>
            <w:tcW w:type="dxa" w:w="1440"/>
          </w:tcPr>
          <w:p>
            <w:r>
              <w:rPr>
                <w:rFonts w:ascii="Calibri" w:hAnsi="Calibri"/>
                <w:sz w:val="22"/>
              </w:rPr>
              <w:t>$2.70</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$6.24B</w:t>
            </w:r>
          </w:p>
        </w:tc>
        <w:tc>
          <w:tcPr>
            <w:tcW w:type="dxa" w:w="1440"/>
          </w:tcPr>
          <w:p>
            <w:r>
              <w:rPr>
                <w:rFonts w:ascii="Calibri" w:hAnsi="Calibri"/>
                <w:sz w:val="22"/>
              </w:rPr>
              <w:t>$6.33B</w:t>
            </w:r>
          </w:p>
        </w:tc>
        <w:tc>
          <w:tcPr>
            <w:tcW w:type="dxa" w:w="1440"/>
          </w:tcPr>
          <w:p>
            <w:r>
              <w:rPr>
                <w:rFonts w:ascii="Calibri" w:hAnsi="Calibri"/>
                <w:b/>
                <w:color w:val="E5484D"/>
                <w:sz w:val="22"/>
              </w:rPr>
              <w:t>-1.4%</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Diluted EPS</w:t>
            </w:r>
          </w:p>
        </w:tc>
        <w:tc>
          <w:tcPr>
            <w:tcW w:type="dxa" w:w="1440"/>
          </w:tcPr>
          <w:p>
            <w:r>
              <w:rPr>
                <w:rFonts w:ascii="Calibri" w:hAnsi="Calibri"/>
                <w:sz w:val="22"/>
              </w:rPr>
              <w:t>$2.83</w:t>
            </w:r>
          </w:p>
        </w:tc>
        <w:tc>
          <w:tcPr>
            <w:tcW w:type="dxa" w:w="1440"/>
          </w:tcPr>
          <w:p>
            <w:r>
              <w:rPr>
                <w:rFonts w:ascii="Calibri" w:hAnsi="Calibri"/>
                <w:sz w:val="22"/>
              </w:rPr>
              <w:t>$2.78</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$6.35B</w:t>
            </w:r>
          </w:p>
        </w:tc>
        <w:tc>
          <w:tcPr>
            <w:tcW w:type="dxa" w:w="1440"/>
          </w:tcPr>
          <w:p>
            <w:r>
              <w:rPr>
                <w:rFonts w:ascii="Calibri" w:hAnsi="Calibri"/>
                <w:sz w:val="22"/>
              </w:rPr>
              <w:t>$6.36B</w:t>
            </w:r>
          </w:p>
        </w:tc>
        <w:tc>
          <w:tcPr>
            <w:tcW w:type="dxa" w:w="1440"/>
          </w:tcPr>
          <w:p>
            <w:r>
              <w:rPr>
                <w:rFonts w:ascii="Calibri" w:hAnsi="Calibri"/>
                <w:sz w:val="22"/>
              </w:rPr>
              <w:t>-0.2%</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Adj. Diluted EPS</w:t>
            </w:r>
          </w:p>
        </w:tc>
        <w:tc>
          <w:tcPr>
            <w:tcW w:type="dxa" w:w="1440"/>
          </w:tcPr>
          <w:p>
            <w:r>
              <w:rPr>
                <w:rFonts w:ascii="Calibri" w:hAnsi="Calibri"/>
                <w:sz w:val="22"/>
              </w:rPr>
              <w:t>$2.84</w:t>
            </w:r>
          </w:p>
        </w:tc>
        <w:tc>
          <w:tcPr>
            <w:tcW w:type="dxa" w:w="1440"/>
          </w:tcPr>
          <w:p>
            <w:r>
              <w:rPr>
                <w:rFonts w:ascii="Calibri" w:hAnsi="Calibri"/>
                <w:sz w:val="22"/>
              </w:rPr>
              <w:t>$2.79</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$6.35B</w:t>
            </w:r>
          </w:p>
        </w:tc>
        <w:tc>
          <w:tcPr>
            <w:tcW w:type="dxa" w:w="1440"/>
          </w:tcPr>
          <w:p>
            <w:r>
              <w:rPr>
                <w:rFonts w:ascii="Calibri" w:hAnsi="Calibri"/>
                <w:sz w:val="22"/>
              </w:rPr>
              <w:t>$6.35B</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Q2 2024</w:t>
            </w:r>
          </w:p>
        </w:tc>
        <w:tc>
          <w:tcPr>
            <w:tcW w:type="dxa" w:w="1440"/>
          </w:tcPr>
          <w:p>
            <w:r>
              <w:rPr>
                <w:rFonts w:ascii="Calibri" w:hAnsi="Calibri"/>
                <w:sz w:val="22"/>
              </w:rPr>
              <w:t>Adj. Diluted EPS</w:t>
            </w:r>
          </w:p>
        </w:tc>
        <w:tc>
          <w:tcPr>
            <w:tcW w:type="dxa" w:w="1440"/>
          </w:tcPr>
          <w:p>
            <w:r>
              <w:rPr>
                <w:rFonts w:ascii="Calibri" w:hAnsi="Calibri"/>
                <w:sz w:val="22"/>
              </w:rPr>
              <w:t>$2.73</w:t>
            </w:r>
          </w:p>
        </w:tc>
        <w:tc>
          <w:tcPr>
            <w:tcW w:type="dxa" w:w="1440"/>
          </w:tcPr>
          <w:p>
            <w:r>
              <w:rPr>
                <w:rFonts w:ascii="Calibri" w:hAnsi="Calibri"/>
                <w:sz w:val="22"/>
              </w:rPr>
              <w:t>$2.61</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ETN has beaten or matched adjusted EPS consensus in 7 of the last 8 quarters, with the lone exception being a revenue miss in Q4 2024 and Q3 2025 — both driven by timing/mix rather than demand weakness. Revenue beats have been more inconsistent, but the Q1 2026 revenue beat (+4.3%) was the largest in recent history, driven by data center strength. EPS beats have been consistent but modest (typically 1–2%), suggesting the Street has learned to set a tight bar.</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raised on revenue/organic growth since last earnings but trimmed on segment margins — the net message is </w:t>
      </w:r>
      <w:r>
        <w:rPr>
          <w:rFonts w:ascii="Calibri" w:hAnsi="Calibri"/>
          <w:b/>
          <w:color w:val="525866"/>
          <w:sz w:val="22"/>
        </w:rPr>
        <w:t>more volume, more investment, same EPS dollars</w:t>
      </w:r>
      <w:r>
        <w:rPr>
          <w:rFonts w:ascii="Calibri" w:hAnsi="Calibri"/>
          <w:color w:val="525866"/>
          <w:sz w:val="22"/>
        </w:rPr>
        <w:t>. No post-earnings guidance revisions have been issued via 8-K or conference; the Q1 earnings call remains the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Adj. EPS</w:t>
            </w:r>
          </w:p>
        </w:tc>
        <w:tc>
          <w:tcPr>
            <w:tcW w:type="dxa" w:w="1728"/>
          </w:tcPr>
          <w:p>
            <w:r>
              <w:rPr>
                <w:rFonts w:ascii="Calibri" w:hAnsi="Calibri"/>
                <w:sz w:val="22"/>
              </w:rPr>
              <w:t>$13.05–$13.50 (mid $13.28)</w:t>
            </w:r>
          </w:p>
        </w:tc>
        <w:tc>
          <w:tcPr>
            <w:tcW w:type="dxa" w:w="1728"/>
          </w:tcPr>
          <w:p>
            <w:r>
              <w:rPr>
                <w:rFonts w:ascii="Calibri" w:hAnsi="Calibri"/>
                <w:sz w:val="22"/>
              </w:rPr>
              <w:t>—</w:t>
            </w:r>
          </w:p>
        </w:tc>
        <w:tc>
          <w:tcPr>
            <w:tcW w:type="dxa" w:w="1728"/>
          </w:tcPr>
          <w:p>
            <w:r>
              <w:rPr>
                <w:rFonts w:ascii="Calibri" w:hAnsi="Calibri"/>
                <w:sz w:val="22"/>
              </w:rPr>
              <w:t>$13.35</w:t>
            </w:r>
          </w:p>
        </w:tc>
        <w:tc>
          <w:tcPr>
            <w:tcW w:type="dxa" w:w="1728"/>
          </w:tcPr>
          <w:p>
            <w:r>
              <w:rPr>
                <w:rFonts w:ascii="Calibri" w:hAnsi="Calibri"/>
                <w:sz w:val="22"/>
              </w:rPr>
              <w:t>Raised at Q1 from prior mid $13.00; absorbs Boyd dilution; consensus slightly above midpoint</w:t>
            </w:r>
          </w:p>
        </w:tc>
      </w:tr>
      <w:tr>
        <w:tc>
          <w:tcPr>
            <w:tcW w:type="dxa" w:w="1728"/>
          </w:tcPr>
          <w:p>
            <w:r>
              <w:rPr>
                <w:rFonts w:ascii="Calibri" w:hAnsi="Calibri"/>
                <w:sz w:val="22"/>
              </w:rPr>
              <w:t>Total Company Organic Growth</w:t>
            </w:r>
          </w:p>
        </w:tc>
        <w:tc>
          <w:tcPr>
            <w:tcW w:type="dxa" w:w="1728"/>
          </w:tcPr>
          <w:p>
            <w:r>
              <w:rPr>
                <w:rFonts w:ascii="Calibri" w:hAnsi="Calibri"/>
                <w:sz w:val="22"/>
              </w:rPr>
              <w:t>9%–11% (mid 10%)</w:t>
            </w:r>
          </w:p>
        </w:tc>
        <w:tc>
          <w:tcPr>
            <w:tcW w:type="dxa" w:w="1728"/>
          </w:tcPr>
          <w:p>
            <w:r>
              <w:rPr>
                <w:rFonts w:ascii="Calibri" w:hAnsi="Calibri"/>
                <w:sz w:val="22"/>
              </w:rPr>
              <w:t>—</w:t>
            </w:r>
          </w:p>
        </w:tc>
        <w:tc>
          <w:tcPr>
            <w:tcW w:type="dxa" w:w="1728"/>
          </w:tcPr>
          <w:p>
            <w:r>
              <w:rPr>
                <w:rFonts w:ascii="Calibri" w:hAnsi="Calibri"/>
                <w:sz w:val="22"/>
              </w:rPr>
              <w:t>~10.5%</w:t>
            </w:r>
          </w:p>
        </w:tc>
        <w:tc>
          <w:tcPr>
            <w:tcW w:type="dxa" w:w="1728"/>
          </w:tcPr>
          <w:p>
            <w:r>
              <w:rPr>
                <w:rFonts w:ascii="Calibri" w:hAnsi="Calibri"/>
                <w:sz w:val="22"/>
              </w:rPr>
              <w:t>↑ Raised +200 bps at Q1 earnings; driven by Electrical Americas and Global strength; consensus tracking above midpoint</w:t>
            </w:r>
          </w:p>
        </w:tc>
      </w:tr>
      <w:tr>
        <w:tc>
          <w:tcPr>
            <w:tcW w:type="dxa" w:w="1728"/>
          </w:tcPr>
          <w:p>
            <w:r>
              <w:rPr>
                <w:rFonts w:ascii="Calibri" w:hAnsi="Calibri"/>
                <w:sz w:val="22"/>
              </w:rPr>
              <w:t>Electrical Americas Organic Growth</w:t>
            </w:r>
          </w:p>
        </w:tc>
        <w:tc>
          <w:tcPr>
            <w:tcW w:type="dxa" w:w="1728"/>
          </w:tcPr>
          <w:p>
            <w:r>
              <w:rPr>
                <w:rFonts w:ascii="Calibri" w:hAnsi="Calibri"/>
                <w:sz w:val="22"/>
              </w:rPr>
              <w:t>~13% (mid); raised from 10%</w:t>
            </w:r>
          </w:p>
        </w:tc>
        <w:tc>
          <w:tcPr>
            <w:tcW w:type="dxa" w:w="1728"/>
          </w:tcPr>
          <w:p>
            <w:r>
              <w:rPr>
                <w:rFonts w:ascii="Calibri" w:hAnsi="Calibri"/>
                <w:sz w:val="22"/>
              </w:rPr>
              <w:t>—</w:t>
            </w:r>
          </w:p>
        </w:tc>
        <w:tc>
          <w:tcPr>
            <w:tcW w:type="dxa" w:w="1728"/>
          </w:tcPr>
          <w:p>
            <w:r>
              <w:rPr>
                <w:rFonts w:ascii="Calibri" w:hAnsi="Calibri"/>
                <w:sz w:val="22"/>
              </w:rPr>
              <w:t>~14.1%</w:t>
            </w:r>
          </w:p>
        </w:tc>
        <w:tc>
          <w:tcPr>
            <w:tcW w:type="dxa" w:w="1728"/>
          </w:tcPr>
          <w:p>
            <w:r>
              <w:rPr>
                <w:rFonts w:ascii="Calibri" w:hAnsi="Calibri"/>
                <w:sz w:val="22"/>
              </w:rPr>
              <w:t>↑ Raised +300 bps at Q1; data center demand accelerating; consensus above midpoint</w:t>
            </w:r>
          </w:p>
        </w:tc>
      </w:tr>
      <w:tr>
        <w:tc>
          <w:tcPr>
            <w:tcW w:type="dxa" w:w="1728"/>
          </w:tcPr>
          <w:p>
            <w:r>
              <w:rPr>
                <w:rFonts w:ascii="Calibri" w:hAnsi="Calibri"/>
                <w:sz w:val="22"/>
              </w:rPr>
              <w:t>Segment Operating Margin</w:t>
            </w:r>
          </w:p>
        </w:tc>
        <w:tc>
          <w:tcPr>
            <w:tcW w:type="dxa" w:w="1728"/>
          </w:tcPr>
          <w:p>
            <w:r>
              <w:rPr>
                <w:rFonts w:ascii="Calibri" w:hAnsi="Calibri"/>
                <w:sz w:val="22"/>
              </w:rPr>
              <w:t>24.1%–24.5% (mid 24.3%)</w:t>
            </w:r>
          </w:p>
        </w:tc>
        <w:tc>
          <w:tcPr>
            <w:tcW w:type="dxa" w:w="1728"/>
          </w:tcPr>
          <w:p>
            <w:r>
              <w:rPr>
                <w:rFonts w:ascii="Calibri" w:hAnsi="Calibri"/>
                <w:sz w:val="22"/>
              </w:rPr>
              <w:t>—</w:t>
            </w:r>
          </w:p>
        </w:tc>
        <w:tc>
          <w:tcPr>
            <w:tcW w:type="dxa" w:w="1728"/>
          </w:tcPr>
          <w:p>
            <w:r>
              <w:rPr>
                <w:rFonts w:ascii="Calibri" w:hAnsi="Calibri"/>
                <w:sz w:val="22"/>
              </w:rPr>
              <w:t>~24.0%</w:t>
            </w:r>
          </w:p>
        </w:tc>
        <w:tc>
          <w:tcPr>
            <w:tcW w:type="dxa" w:w="1728"/>
          </w:tcPr>
          <w:p>
            <w:r>
              <w:rPr>
                <w:rFonts w:ascii="Calibri" w:hAnsi="Calibri"/>
                <w:sz w:val="22"/>
              </w:rPr>
              <w:t>↓ Lowered 50 bps at Q1 vs. prior guide due to Electrical Americas Q1 cost headwinds; consensus slightly below midpoint</w:t>
            </w:r>
          </w:p>
        </w:tc>
      </w:tr>
      <w:tr>
        <w:tc>
          <w:tcPr>
            <w:tcW w:type="dxa" w:w="1728"/>
          </w:tcPr>
          <w:p>
            <w:r>
              <w:rPr>
                <w:rFonts w:ascii="Calibri" w:hAnsi="Calibri"/>
                <w:sz w:val="22"/>
              </w:rPr>
              <w:t>Electrical Americas Op. Margin (Q2 specific)</w:t>
            </w:r>
          </w:p>
        </w:tc>
        <w:tc>
          <w:tcPr>
            <w:tcW w:type="dxa" w:w="1728"/>
          </w:tcPr>
          <w:p>
            <w:r>
              <w:rPr>
                <w:rFonts w:ascii="Calibri" w:hAnsi="Calibri"/>
                <w:sz w:val="22"/>
              </w:rPr>
              <w:t>+150 bps sequential from Q1 (i.e., ~27.1%)</w:t>
            </w:r>
          </w:p>
        </w:tc>
        <w:tc>
          <w:tcPr>
            <w:tcW w:type="dxa" w:w="1728"/>
          </w:tcPr>
          <w:p>
            <w:r>
              <w:rPr>
                <w:rFonts w:ascii="Calibri" w:hAnsi="Calibri"/>
                <w:sz w:val="22"/>
              </w:rPr>
              <w:t>—</w:t>
            </w:r>
          </w:p>
        </w:tc>
        <w:tc>
          <w:tcPr>
            <w:tcW w:type="dxa" w:w="1728"/>
          </w:tcPr>
          <w:p>
            <w:r>
              <w:rPr>
                <w:rFonts w:ascii="Calibri" w:hAnsi="Calibri"/>
                <w:sz w:val="22"/>
              </w:rPr>
              <w:t>~26.9%</w:t>
            </w:r>
          </w:p>
        </w:tc>
        <w:tc>
          <w:tcPr>
            <w:tcW w:type="dxa" w:w="1728"/>
          </w:tcPr>
          <w:p>
            <w:r>
              <w:rPr>
                <w:rFonts w:ascii="Calibri" w:hAnsi="Calibri"/>
                <w:sz w:val="22"/>
              </w:rPr>
              <w:t>Mgmt explicitly guided Q2 EA margin up 150 bps from Q1’s 25.6%; consensus slightly below implied guide; key debate point</w:t>
            </w:r>
          </w:p>
        </w:tc>
      </w:tr>
      <w:tr>
        <w:tc>
          <w:tcPr>
            <w:tcW w:type="dxa" w:w="1728"/>
          </w:tcPr>
          <w:p>
            <w:r>
              <w:rPr>
                <w:rFonts w:ascii="Calibri" w:hAnsi="Calibri"/>
                <w:sz w:val="22"/>
              </w:rPr>
              <w:t>Electrical Americas Exit Rate (FY)</w:t>
            </w:r>
          </w:p>
        </w:tc>
        <w:tc>
          <w:tcPr>
            <w:tcW w:type="dxa" w:w="1728"/>
          </w:tcPr>
          <w:p>
            <w:r>
              <w:rPr>
                <w:rFonts w:ascii="Calibri" w:hAnsi="Calibri"/>
                <w:sz w:val="22"/>
              </w:rPr>
              <w:t>&gt;30% by year-end 2026</w:t>
            </w:r>
          </w:p>
        </w:tc>
        <w:tc>
          <w:tcPr>
            <w:tcW w:type="dxa" w:w="1728"/>
          </w:tcPr>
          <w:p>
            <w:r>
              <w:rPr>
                <w:rFonts w:ascii="Calibri" w:hAnsi="Calibri"/>
                <w:sz w:val="22"/>
              </w:rPr>
              <w:t>—</w:t>
            </w:r>
          </w:p>
        </w:tc>
        <w:tc>
          <w:tcPr>
            <w:tcW w:type="dxa" w:w="1728"/>
          </w:tcPr>
          <w:p>
            <w:r>
              <w:rPr>
                <w:rFonts w:ascii="Calibri" w:hAnsi="Calibri"/>
                <w:sz w:val="22"/>
              </w:rPr>
              <w:t>~28.8% FY avg.</w:t>
            </w:r>
          </w:p>
        </w:tc>
        <w:tc>
          <w:tcPr>
            <w:tcW w:type="dxa" w:w="1728"/>
          </w:tcPr>
          <w:p>
            <w:r>
              <w:rPr>
                <w:rFonts w:ascii="Calibri" w:hAnsi="Calibri"/>
                <w:sz w:val="22"/>
              </w:rPr>
              <w:t>Management confident on exit rate; consensus FY average implies H2 ramp to ~30%+ in Q4</w:t>
            </w:r>
          </w:p>
        </w:tc>
      </w:tr>
      <w:tr>
        <w:tc>
          <w:tcPr>
            <w:tcW w:type="dxa" w:w="1728"/>
          </w:tcPr>
          <w:p>
            <w:r>
              <w:rPr>
                <w:rFonts w:ascii="Calibri" w:hAnsi="Calibri"/>
                <w:sz w:val="22"/>
              </w:rPr>
              <w:t>Free Cash Flow</w:t>
            </w:r>
          </w:p>
        </w:tc>
        <w:tc>
          <w:tcPr>
            <w:tcW w:type="dxa" w:w="1728"/>
          </w:tcPr>
          <w:p>
            <w:r>
              <w:rPr>
                <w:rFonts w:ascii="Calibri" w:hAnsi="Calibri"/>
                <w:sz w:val="22"/>
              </w:rPr>
              <w:t>$3.9–$4.3B (mid $4.1B)</w:t>
            </w:r>
          </w:p>
        </w:tc>
        <w:tc>
          <w:tcPr>
            <w:tcW w:type="dxa" w:w="1728"/>
          </w:tcPr>
          <w:p>
            <w:r>
              <w:rPr>
                <w:rFonts w:ascii="Calibri" w:hAnsi="Calibri"/>
                <w:sz w:val="22"/>
              </w:rPr>
              <w:t>—</w:t>
            </w:r>
          </w:p>
        </w:tc>
        <w:tc>
          <w:tcPr>
            <w:tcW w:type="dxa" w:w="1728"/>
          </w:tcPr>
          <w:p>
            <w:r>
              <w:rPr>
                <w:rFonts w:ascii="Calibri" w:hAnsi="Calibri"/>
                <w:sz w:val="22"/>
              </w:rPr>
              <w:t>$3.92B</w:t>
            </w:r>
          </w:p>
        </w:tc>
        <w:tc>
          <w:tcPr>
            <w:tcW w:type="dxa" w:w="1728"/>
          </w:tcPr>
          <w:p>
            <w:r>
              <w:rPr>
                <w:rFonts w:ascii="Calibri" w:hAnsi="Calibri"/>
                <w:sz w:val="22"/>
              </w:rPr>
              <w:t>Reaffirmed at Q1; consensus at low end of range; H1 FCF typically light (Q1 was $314M)</w:t>
            </w:r>
          </w:p>
        </w:tc>
      </w:tr>
      <w:tr>
        <w:tc>
          <w:tcPr>
            <w:tcW w:type="dxa" w:w="1728"/>
          </w:tcPr>
          <w:p>
            <w:r>
              <w:rPr>
                <w:rFonts w:ascii="Calibri" w:hAnsi="Calibri"/>
                <w:sz w:val="22"/>
              </w:rPr>
              <w:t>Mobility Spin-off</w:t>
            </w:r>
          </w:p>
        </w:tc>
        <w:tc>
          <w:tcPr>
            <w:tcW w:type="dxa" w:w="1728"/>
          </w:tcPr>
          <w:p>
            <w:r>
              <w:rPr>
                <w:rFonts w:ascii="Calibri" w:hAnsi="Calibri"/>
                <w:sz w:val="22"/>
              </w:rPr>
              <w:t>On track for Q1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 management reaffirmed timeline; any update on Q2 call would be a catalyst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 since the Q1 print, with Q2 revenue consensus essentially flat and EPS ticking up modestly — suggesting the Street has absorbed the margin reset and is not pricing in further downside. The </w:t>
      </w:r>
      <w:r>
        <w:rPr>
          <w:rFonts w:ascii="Calibri" w:hAnsi="Calibri"/>
          <w:b/>
          <w:color w:val="525866"/>
          <w:sz w:val="22"/>
        </w:rPr>
        <w:t>gap between consensus and guidance on Electrical Americas margins is the key risk</w:t>
      </w:r>
      <w:r>
        <w:rPr>
          <w:rFonts w:ascii="Calibri" w:hAnsi="Calibri"/>
          <w:color w:val="525866"/>
          <w:sz w:val="22"/>
        </w:rPr>
        <w:t>: consensus sits ~20 bps below management’s implied Q2 guide, meaning any shortfall would be a negative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12, 2026 — 5 Days Post Q1 Print)</w:t>
            </w:r>
          </w:p>
        </w:tc>
        <w:tc>
          <w:tcPr>
            <w:tcW w:type="dxa" w:w="1080"/>
            <w:shd w:val="clear" w:color="auto" w:fill="3B4259"/>
          </w:tcPr>
          <w:p>
            <w:r>
              <w:rPr>
                <w:rFonts w:ascii="Calibri" w:hAnsi="Calibri"/>
                <w:b/>
                <w:color w:val="FFFFFF"/>
                <w:sz w:val="22"/>
              </w:rPr>
              <w:t>Current Consensus (Jul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$8.18B</w:t>
            </w:r>
          </w:p>
        </w:tc>
        <w:tc>
          <w:tcPr>
            <w:tcW w:type="dxa" w:w="1080"/>
          </w:tcPr>
          <w:p>
            <w:r>
              <w:rPr>
                <w:rFonts w:ascii="Calibri" w:hAnsi="Calibri"/>
                <w:sz w:val="22"/>
              </w:rPr>
              <w:t>$8.18B</w:t>
            </w:r>
          </w:p>
        </w:tc>
        <w:tc>
          <w:tcPr>
            <w:tcW w:type="dxa" w:w="1080"/>
          </w:tcPr>
          <w:p>
            <w:r>
              <w:rPr>
                <w:rFonts w:ascii="Calibri" w:hAnsi="Calibri"/>
                <w:sz w:val="22"/>
              </w:rPr>
              <w:t>~0%</w:t>
            </w:r>
          </w:p>
        </w:tc>
        <w:tc>
          <w:tcPr>
            <w:tcW w:type="dxa" w:w="1080"/>
          </w:tcPr>
          <w:p>
            <w:r>
              <w:rPr>
                <w:rFonts w:ascii="Calibri" w:hAnsi="Calibri"/>
                <w:sz w:val="22"/>
              </w:rPr>
              <w:t>Implied ~$8.0–$8.2B from FY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Net Sales — FY 2026</w:t>
            </w:r>
          </w:p>
        </w:tc>
        <w:tc>
          <w:tcPr>
            <w:tcW w:type="dxa" w:w="1080"/>
          </w:tcPr>
          <w:p>
            <w:r>
              <w:rPr>
                <w:rFonts w:ascii="Calibri" w:hAnsi="Calibri"/>
                <w:sz w:val="22"/>
              </w:rPr>
              <w:t>$32.12B</w:t>
            </w:r>
          </w:p>
        </w:tc>
        <w:tc>
          <w:tcPr>
            <w:tcW w:type="dxa" w:w="1080"/>
          </w:tcPr>
          <w:p>
            <w:r>
              <w:rPr>
                <w:rFonts w:ascii="Calibri" w:hAnsi="Calibri"/>
                <w:sz w:val="22"/>
              </w:rPr>
              <w:t>$32.12B</w:t>
            </w:r>
          </w:p>
        </w:tc>
        <w:tc>
          <w:tcPr>
            <w:tcW w:type="dxa" w:w="1080"/>
          </w:tcPr>
          <w:p>
            <w:r>
              <w:rPr>
                <w:rFonts w:ascii="Calibri" w:hAnsi="Calibri"/>
                <w:sz w:val="22"/>
              </w:rPr>
              <w:t>~0%</w:t>
            </w:r>
          </w:p>
        </w:tc>
        <w:tc>
          <w:tcPr>
            <w:tcW w:type="dxa" w:w="1080"/>
          </w:tcPr>
          <w:p>
            <w:r>
              <w:rPr>
                <w:rFonts w:ascii="Calibri" w:hAnsi="Calibri"/>
                <w:sz w:val="22"/>
              </w:rPr>
              <w:t>Organic growth 9–11%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midpoint</w:t>
            </w:r>
          </w:p>
        </w:tc>
      </w:tr>
      <w:tr>
        <w:tc>
          <w:tcPr>
            <w:tcW w:type="dxa" w:w="1080"/>
          </w:tcPr>
          <w:p>
            <w:r>
              <w:rPr>
                <w:rFonts w:ascii="Calibri" w:hAnsi="Calibri"/>
                <w:sz w:val="22"/>
              </w:rPr>
              <w:t>Adj. Diluted EPS — Q2 2026</w:t>
            </w:r>
          </w:p>
        </w:tc>
        <w:tc>
          <w:tcPr>
            <w:tcW w:type="dxa" w:w="1080"/>
          </w:tcPr>
          <w:p>
            <w:r>
              <w:rPr>
                <w:rFonts w:ascii="Calibri" w:hAnsi="Calibri"/>
                <w:sz w:val="22"/>
              </w:rPr>
              <w:t>$3.08</w:t>
            </w:r>
          </w:p>
        </w:tc>
        <w:tc>
          <w:tcPr>
            <w:tcW w:type="dxa" w:w="1080"/>
          </w:tcPr>
          <w:p>
            <w:r>
              <w:rPr>
                <w:rFonts w:ascii="Calibri" w:hAnsi="Calibri"/>
                <w:sz w:val="22"/>
              </w:rPr>
              <w:t>$3.08</w:t>
            </w:r>
          </w:p>
        </w:tc>
        <w:tc>
          <w:tcPr>
            <w:tcW w:type="dxa" w:w="1080"/>
          </w:tcPr>
          <w:p>
            <w:r>
              <w:rPr>
                <w:rFonts w:ascii="Calibri" w:hAnsi="Calibri"/>
                <w:sz w:val="22"/>
              </w:rPr>
              <w:t>~0%</w:t>
            </w:r>
          </w:p>
        </w:tc>
        <w:tc>
          <w:tcPr>
            <w:tcW w:type="dxa" w:w="1080"/>
          </w:tcPr>
          <w:p>
            <w:r>
              <w:rPr>
                <w:rFonts w:ascii="Calibri" w:hAnsi="Calibri"/>
                <w:sz w:val="22"/>
              </w:rPr>
              <w:t>Implied ~$3.05–$3.10 from FY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Diluted EPS — FY 2026</w:t>
            </w:r>
          </w:p>
        </w:tc>
        <w:tc>
          <w:tcPr>
            <w:tcW w:type="dxa" w:w="1080"/>
          </w:tcPr>
          <w:p>
            <w:r>
              <w:rPr>
                <w:rFonts w:ascii="Calibri" w:hAnsi="Calibri"/>
                <w:sz w:val="22"/>
              </w:rPr>
              <w:t>$13.35</w:t>
            </w:r>
          </w:p>
        </w:tc>
        <w:tc>
          <w:tcPr>
            <w:tcW w:type="dxa" w:w="1080"/>
          </w:tcPr>
          <w:p>
            <w:r>
              <w:rPr>
                <w:rFonts w:ascii="Calibri" w:hAnsi="Calibri"/>
                <w:sz w:val="22"/>
              </w:rPr>
              <w:t>$13.35</w:t>
            </w:r>
          </w:p>
        </w:tc>
        <w:tc>
          <w:tcPr>
            <w:tcW w:type="dxa" w:w="1080"/>
          </w:tcPr>
          <w:p>
            <w:r>
              <w:rPr>
                <w:rFonts w:ascii="Calibri" w:hAnsi="Calibri"/>
                <w:sz w:val="22"/>
              </w:rPr>
              <w:t>~0%</w:t>
            </w:r>
          </w:p>
        </w:tc>
        <w:tc>
          <w:tcPr>
            <w:tcW w:type="dxa" w:w="1080"/>
          </w:tcPr>
          <w:p>
            <w:r>
              <w:rPr>
                <w:rFonts w:ascii="Calibri" w:hAnsi="Calibri"/>
                <w:sz w:val="22"/>
              </w:rPr>
              <w:t>$13.05–$13.50 (mid $13.28)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midpoint</w:t>
            </w:r>
          </w:p>
        </w:tc>
      </w:tr>
      <w:tr>
        <w:tc>
          <w:tcPr>
            <w:tcW w:type="dxa" w:w="1080"/>
          </w:tcPr>
          <w:p>
            <w:r>
              <w:rPr>
                <w:rFonts w:ascii="Calibri" w:hAnsi="Calibri"/>
                <w:sz w:val="22"/>
              </w:rPr>
              <w:t>EA Op. Margin — Q2 2026</w:t>
            </w:r>
          </w:p>
        </w:tc>
        <w:tc>
          <w:tcPr>
            <w:tcW w:type="dxa" w:w="1080"/>
          </w:tcPr>
          <w:p>
            <w:r>
              <w:rPr>
                <w:rFonts w:ascii="Calibri" w:hAnsi="Calibri"/>
                <w:sz w:val="22"/>
              </w:rPr>
              <w:t>~27.1%</w:t>
            </w:r>
          </w:p>
        </w:tc>
        <w:tc>
          <w:tcPr>
            <w:tcW w:type="dxa" w:w="1080"/>
          </w:tcPr>
          <w:p>
            <w:r>
              <w:rPr>
                <w:rFonts w:ascii="Calibri" w:hAnsi="Calibri"/>
                <w:sz w:val="22"/>
              </w:rPr>
              <w:t>26.9%</w:t>
            </w:r>
          </w:p>
        </w:tc>
        <w:tc>
          <w:tcPr>
            <w:tcW w:type="dxa" w:w="1080"/>
          </w:tcPr>
          <w:p>
            <w:r>
              <w:rPr>
                <w:rFonts w:ascii="Calibri" w:hAnsi="Calibri"/>
                <w:sz w:val="22"/>
              </w:rPr>
              <w:t>-20 bps</w:t>
            </w:r>
          </w:p>
        </w:tc>
        <w:tc>
          <w:tcPr>
            <w:tcW w:type="dxa" w:w="1080"/>
          </w:tcPr>
          <w:p>
            <w:r>
              <w:rPr>
                <w:rFonts w:ascii="Calibri" w:hAnsi="Calibri"/>
                <w:sz w:val="22"/>
              </w:rPr>
              <w:t>~27.1% (Q1 + 150 bps)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E5484D"/>
                <w:sz w:val="22"/>
              </w:rPr>
              <w:t>-20 bps below guide — risk to upside if pricing flows through</w:t>
            </w:r>
          </w:p>
        </w:tc>
      </w:tr>
      <w:tr>
        <w:tc>
          <w:tcPr>
            <w:tcW w:type="dxa" w:w="1080"/>
          </w:tcPr>
          <w:p>
            <w:r>
              <w:rPr>
                <w:rFonts w:ascii="Calibri" w:hAnsi="Calibri"/>
                <w:sz w:val="22"/>
              </w:rPr>
              <w:t>EA Op. Margin — FY 2026</w:t>
            </w:r>
          </w:p>
        </w:tc>
        <w:tc>
          <w:tcPr>
            <w:tcW w:type="dxa" w:w="1080"/>
          </w:tcPr>
          <w:p>
            <w:r>
              <w:rPr>
                <w:rFonts w:ascii="Calibri" w:hAnsi="Calibri"/>
                <w:sz w:val="22"/>
              </w:rPr>
              <w:t>~28.8%</w:t>
            </w:r>
          </w:p>
        </w:tc>
        <w:tc>
          <w:tcPr>
            <w:tcW w:type="dxa" w:w="1080"/>
          </w:tcPr>
          <w:p>
            <w:r>
              <w:rPr>
                <w:rFonts w:ascii="Calibri" w:hAnsi="Calibri"/>
                <w:sz w:val="22"/>
              </w:rPr>
              <w:t>28.8%</w:t>
            </w:r>
          </w:p>
        </w:tc>
        <w:tc>
          <w:tcPr>
            <w:tcW w:type="dxa" w:w="1080"/>
          </w:tcPr>
          <w:p>
            <w:r>
              <w:rPr>
                <w:rFonts w:ascii="Calibri" w:hAnsi="Calibri"/>
                <w:sz w:val="22"/>
              </w:rPr>
              <w:t>~0%</w:t>
            </w:r>
          </w:p>
        </w:tc>
        <w:tc>
          <w:tcPr>
            <w:tcW w:type="dxa" w:w="1080"/>
          </w:tcPr>
          <w:p>
            <w:r>
              <w:rPr>
                <w:rFonts w:ascii="Calibri" w:hAnsi="Calibri"/>
                <w:sz w:val="22"/>
              </w:rPr>
              <w:t>Exit rate &gt;30%; FY avg. ~28–29%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H2 ramp to ~30%+ in Q4</w:t>
            </w:r>
          </w:p>
        </w:tc>
      </w:tr>
      <w:tr>
        <w:tc>
          <w:tcPr>
            <w:tcW w:type="dxa" w:w="1080"/>
          </w:tcPr>
          <w:p>
            <w:r>
              <w:rPr>
                <w:rFonts w:ascii="Calibri" w:hAnsi="Calibri"/>
                <w:sz w:val="22"/>
              </w:rPr>
              <w:t>Segment Op. Margin — Q2 2026</w:t>
            </w:r>
          </w:p>
        </w:tc>
        <w:tc>
          <w:tcPr>
            <w:tcW w:type="dxa" w:w="1080"/>
          </w:tcPr>
          <w:p>
            <w:r>
              <w:rPr>
                <w:rFonts w:ascii="Calibri" w:hAnsi="Calibri"/>
                <w:sz w:val="22"/>
              </w:rPr>
              <w:t>~22.7%</w:t>
            </w:r>
          </w:p>
        </w:tc>
        <w:tc>
          <w:tcPr>
            <w:tcW w:type="dxa" w:w="1080"/>
          </w:tcPr>
          <w:p>
            <w:r>
              <w:rPr>
                <w:rFonts w:ascii="Calibri" w:hAnsi="Calibri"/>
                <w:sz w:val="22"/>
              </w:rPr>
              <w:t>22.7%</w:t>
            </w:r>
          </w:p>
        </w:tc>
        <w:tc>
          <w:tcPr>
            <w:tcW w:type="dxa" w:w="1080"/>
          </w:tcPr>
          <w:p>
            <w:r>
              <w:rPr>
                <w:rFonts w:ascii="Calibri" w:hAnsi="Calibri"/>
                <w:sz w:val="22"/>
              </w:rPr>
              <w:t>~0%</w:t>
            </w:r>
          </w:p>
        </w:tc>
        <w:tc>
          <w:tcPr>
            <w:tcW w:type="dxa" w:w="1080"/>
          </w:tcPr>
          <w:p>
            <w:r>
              <w:rPr>
                <w:rFonts w:ascii="Calibri" w:hAnsi="Calibri"/>
                <w:sz w:val="22"/>
              </w:rPr>
              <w:t>FY 24.1–24.5%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FY guide; H2 ramp required</w:t>
            </w:r>
          </w:p>
        </w:tc>
      </w:tr>
      <w:tr>
        <w:tc>
          <w:tcPr>
            <w:tcW w:type="dxa" w:w="1080"/>
          </w:tcPr>
          <w:p>
            <w:r>
              <w:rPr>
                <w:rFonts w:ascii="Calibri" w:hAnsi="Calibri"/>
                <w:sz w:val="22"/>
              </w:rPr>
              <w:t>Free Cash Flow — FY 2026</w:t>
            </w:r>
          </w:p>
        </w:tc>
        <w:tc>
          <w:tcPr>
            <w:tcW w:type="dxa" w:w="1080"/>
          </w:tcPr>
          <w:p>
            <w:r>
              <w:rPr>
                <w:rFonts w:ascii="Calibri" w:hAnsi="Calibri"/>
                <w:sz w:val="22"/>
              </w:rPr>
              <w:t>$3.93B</w:t>
            </w:r>
          </w:p>
        </w:tc>
        <w:tc>
          <w:tcPr>
            <w:tcW w:type="dxa" w:w="1080"/>
          </w:tcPr>
          <w:p>
            <w:r>
              <w:rPr>
                <w:rFonts w:ascii="Calibri" w:hAnsi="Calibri"/>
                <w:sz w:val="22"/>
              </w:rPr>
              <w:t>$3.92B</w:t>
            </w:r>
          </w:p>
        </w:tc>
        <w:tc>
          <w:tcPr>
            <w:tcW w:type="dxa" w:w="1080"/>
          </w:tcPr>
          <w:p>
            <w:r>
              <w:rPr>
                <w:rFonts w:ascii="Calibri" w:hAnsi="Calibri"/>
                <w:sz w:val="22"/>
              </w:rPr>
              <w:t>-0.3%</w:t>
            </w:r>
          </w:p>
        </w:tc>
        <w:tc>
          <w:tcPr>
            <w:tcW w:type="dxa" w:w="1080"/>
          </w:tcPr>
          <w:p>
            <w:r>
              <w:rPr>
                <w:rFonts w:ascii="Calibri" w:hAnsi="Calibri"/>
                <w:sz w:val="22"/>
              </w:rPr>
              <w:t>$3.9–$4.3B (mid $4.1B)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-4.4% below midpoint; consensus at low end of range</w:t>
            </w:r>
          </w:p>
        </w:tc>
      </w:tr>
    </w:tbl>
    <w:p>
      <w:r>
        <w:rPr>
          <w:rFonts w:ascii="Calibri" w:hAnsi="Calibri"/>
          <w:color w:val="525866"/>
          <w:sz w:val="22"/>
        </w:rPr>
        <w:t>Estimates have been remarkably stable since the Q1 print, with virtually no revision in either direction for revenue or EPS — the Street appears to have fully digested the Q1 guidance update and is now in a wait-and-see mode. The key divergence is on Electrical Americas margins, where consensus sits ~20 bps below management’s implied Q2 guide, creating a modest upside scenario if the April 1 price increase flows through faster than modeled.</w:t>
      </w:r>
    </w:p>
    <w:p>
      <w:r>
        <w:rPr>
          <w:rFonts w:ascii="Calibri" w:hAnsi="Calibri"/>
          <w:i/>
          <w:color w:val="525866"/>
          <w:sz w:val="22"/>
        </w:rPr>
        <w:t>Source: Visible Alpha Consensus and Actuals Data. Baseline as of May 12, 2026 (5 trading days post Q1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ETN has underperformed meaningfully since Q1 earnings — down ~5.8% vs. XLI +3.5% and SPY +2.5% — driven by </w:t>
      </w:r>
      <w:r>
        <w:rPr>
          <w:rFonts w:ascii="Calibri" w:hAnsi="Calibri"/>
          <w:b/>
          <w:color w:val="525866"/>
          <w:sz w:val="22"/>
        </w:rPr>
        <w:t>multiple compression on margin concerns</w:t>
      </w:r>
      <w:r>
        <w:rPr>
          <w:rFonts w:ascii="Calibri" w:hAnsi="Calibri"/>
          <w:color w:val="525866"/>
          <w:sz w:val="22"/>
        </w:rPr>
        <w:t xml:space="preserve"> rather than estimate cuts, as EPS consensus has barely moved. The stock is not pricing in a beat, which sets up an asymmetric risk/reward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ETN vs. XLI (Industrials ETF) vs. S&amp;P 500 (SPY) — Indexed to 100 at Q1 2026 Earnings (May 5, 2026). Source: Stock Price Data.</w:t>
      </w:r>
    </w:p>
    <w:p>
      <w:r>
        <w:rPr>
          <w:rFonts w:ascii="Calibri" w:hAnsi="Calibri"/>
          <w:color w:val="525866"/>
          <w:sz w:val="22"/>
        </w:rPr>
        <w:t>Stock Performance Summary (May 5 – July 30, 2026):</w:t>
      </w:r>
    </w:p>
    <w:p>
      <w:pPr>
        <w:pStyle w:val="ListBullet"/>
        <w:ind w:left="360" w:hanging="360"/>
      </w:pPr>
      <w:r>
        <w:rPr>
          <w:rFonts w:ascii="Calibri" w:hAnsi="Calibri"/>
          <w:b/>
          <w:color w:val="525866"/>
          <w:sz w:val="22"/>
        </w:rPr>
        <w:t xml:space="preserve">ETN: </w:t>
      </w:r>
      <w:r>
        <w:rPr>
          <w:rFonts w:ascii="Calibri" w:hAnsi="Calibri"/>
          <w:color w:val="525866"/>
          <w:sz w:val="22"/>
        </w:rPr>
        <w:t>-5.8% (from $410.86 to $386.89), significantly underperforming both the sector and the broader market.</w:t>
      </w:r>
    </w:p>
    <w:p>
      <w:pPr>
        <w:pStyle w:val="ListBullet"/>
        <w:ind w:left="360" w:hanging="360"/>
      </w:pPr>
      <w:r>
        <w:rPr>
          <w:rFonts w:ascii="Calibri" w:hAnsi="Calibri"/>
          <w:b/>
          <w:color w:val="525866"/>
          <w:sz w:val="22"/>
        </w:rPr>
        <w:t xml:space="preserve">XLI (Industrials ETF): </w:t>
      </w:r>
      <w:r>
        <w:rPr>
          <w:rFonts w:ascii="Calibri" w:hAnsi="Calibri"/>
          <w:color w:val="525866"/>
          <w:sz w:val="22"/>
        </w:rPr>
        <w:t>+3.5% (from $172.41 to $178.39), reflecting solid industrial sector performance driven by infrastructure and defense spending.</w:t>
      </w:r>
    </w:p>
    <w:p>
      <w:pPr>
        <w:pStyle w:val="ListBullet"/>
        <w:ind w:left="360" w:hanging="360"/>
      </w:pPr>
      <w:r>
        <w:rPr>
          <w:rFonts w:ascii="Calibri" w:hAnsi="Calibri"/>
          <w:b/>
          <w:color w:val="525866"/>
          <w:sz w:val="22"/>
        </w:rPr>
        <w:t xml:space="preserve">S&amp;P 500 (SPY): </w:t>
      </w:r>
      <w:r>
        <w:rPr>
          <w:rFonts w:ascii="Calibri" w:hAnsi="Calibri"/>
          <w:color w:val="525866"/>
          <w:sz w:val="22"/>
        </w:rPr>
        <w:t>+2.5% (from $723.77 to $741.69), supported by resilient earnings season and AI-driven tech strength.</w:t>
      </w:r>
    </w:p>
    <w:p>
      <w:r>
        <w:rPr>
          <w:rFonts w:ascii="Calibri" w:hAnsi="Calibri"/>
          <w:b/>
          <w:color w:val="525866"/>
          <w:sz w:val="22"/>
        </w:rPr>
        <w:t>Key Observations:</w:t>
      </w:r>
    </w:p>
    <w:p>
      <w:pPr>
        <w:pStyle w:val="ListBullet"/>
        <w:ind w:left="360" w:hanging="360"/>
      </w:pPr>
      <w:r>
        <w:rPr>
          <w:rFonts w:ascii="Calibri" w:hAnsi="Calibri"/>
          <w:b/>
          <w:color w:val="525866"/>
          <w:sz w:val="22"/>
        </w:rPr>
        <w:t xml:space="preserve">May 5–7 (Q1 Earnings Reaction): </w:t>
      </w:r>
      <w:r>
        <w:rPr>
          <w:rFonts w:ascii="Calibri" w:hAnsi="Calibri"/>
          <w:color w:val="525866"/>
          <w:sz w:val="22"/>
        </w:rPr>
        <w:t>ETN opened at $410.86 on earnings day and fell to $399.15 by May 7 (-2.8%), as investors reacted negatively to the Electrical Americas margin miss and the segment margin guidance reduction, despite the significant revenue beat.</w:t>
      </w:r>
    </w:p>
    <w:p>
      <w:pPr>
        <w:pStyle w:val="ListBullet"/>
        <w:ind w:left="360" w:hanging="360"/>
      </w:pPr>
      <w:r>
        <w:rPr>
          <w:rFonts w:ascii="Calibri" w:hAnsi="Calibri"/>
          <w:b/>
          <w:color w:val="525866"/>
          <w:sz w:val="22"/>
        </w:rPr>
        <w:t xml:space="preserve">May 18–19 (Continued Selling): </w:t>
      </w:r>
      <w:r>
        <w:rPr>
          <w:rFonts w:ascii="Calibri" w:hAnsi="Calibri"/>
          <w:color w:val="525866"/>
          <w:sz w:val="22"/>
        </w:rPr>
        <w:t>ETN fell to a post-earnings low of ~$371.88 on May 19, as sell-side analysts digested the margin trajectory and some downgraded their near-term margin assumptions.</w:t>
      </w:r>
    </w:p>
    <w:p>
      <w:pPr>
        <w:pStyle w:val="ListBullet"/>
        <w:ind w:left="360" w:hanging="360"/>
      </w:pPr>
      <w:r>
        <w:rPr>
          <w:rFonts w:ascii="Calibri" w:hAnsi="Calibri"/>
          <w:b/>
          <w:color w:val="525866"/>
          <w:sz w:val="22"/>
        </w:rPr>
        <w:t xml:space="preserve">June 2‒2 (Recovery): </w:t>
      </w:r>
      <w:r>
        <w:rPr>
          <w:rFonts w:ascii="Calibri" w:hAnsi="Calibri"/>
          <w:color w:val="525866"/>
          <w:sz w:val="22"/>
        </w:rPr>
        <w:t>ETN recovered to $421.21 by June 3, likely driven by broader industrial sector strength and positive data center demand signals from peers (VRT, GEV).</w:t>
      </w:r>
    </w:p>
    <w:p>
      <w:pPr>
        <w:pStyle w:val="ListBullet"/>
        <w:ind w:left="360" w:hanging="360"/>
      </w:pPr>
      <w:r>
        <w:rPr>
          <w:rFonts w:ascii="Calibri" w:hAnsi="Calibri"/>
          <w:b/>
          <w:color w:val="525866"/>
          <w:sz w:val="22"/>
        </w:rPr>
        <w:t xml:space="preserve">June 22 (Peak): </w:t>
      </w:r>
      <w:r>
        <w:rPr>
          <w:rFonts w:ascii="Calibri" w:hAnsi="Calibri"/>
          <w:color w:val="525866"/>
          <w:sz w:val="22"/>
        </w:rPr>
        <w:t>ETN reached a post-earnings high of $435.78, briefly outperforming, before pulling back on broader market volatility.</w:t>
      </w:r>
    </w:p>
    <w:p>
      <w:pPr>
        <w:pStyle w:val="ListBullet"/>
        <w:ind w:left="360" w:hanging="360"/>
      </w:pPr>
      <w:r>
        <w:rPr>
          <w:rFonts w:ascii="Calibri" w:hAnsi="Calibri"/>
          <w:b/>
          <w:color w:val="525866"/>
          <w:sz w:val="22"/>
        </w:rPr>
        <w:t xml:space="preserve">July 28–29 (Pre-Earnings Weakness): </w:t>
      </w:r>
      <w:r>
        <w:rPr>
          <w:rFonts w:ascii="Calibri" w:hAnsi="Calibri"/>
          <w:color w:val="525866"/>
          <w:sz w:val="22"/>
        </w:rPr>
        <w:t>ETN sold off sharply to $361.88 on July 29 (-6.3% in two days), likely reflecting pre-earnings de-risking and broader market weakness, before recovering to $386.89 on July 30.</w:t>
      </w:r>
    </w:p>
    <w:p>
      <w:pPr>
        <w:pStyle w:val="ListBullet"/>
        <w:ind w:left="360" w:hanging="360"/>
      </w:pPr>
      <w:r>
        <w:rPr>
          <w:rFonts w:ascii="Calibri" w:hAnsi="Calibri"/>
          <w:b/>
          <w:color w:val="525866"/>
          <w:sz w:val="22"/>
        </w:rPr>
        <w:t xml:space="preserve">Valuation Context: </w:t>
      </w:r>
      <w:r>
        <w:rPr>
          <w:rFonts w:ascii="Calibri" w:hAnsi="Calibri"/>
          <w:color w:val="525866"/>
          <w:sz w:val="22"/>
        </w:rPr>
        <w:t>At $386.89, ETN trades at approximately 29x FY2026 consensus EPS of $13.35, a modest discount to its recent 12-month average of ~32x, suggesting the market has partially de-rated the stock on margin uncertainty. A successful Q2 margin recovery could re-rate the stock toward 31–32x.</w:t>
      </w:r>
    </w:p>
    <w:p>
      <w:r>
        <w:br w:type="page"/>
      </w:r>
    </w:p>
    <w:p>
      <w:pPr>
        <w:pStyle w:val="Heading2"/>
      </w:pPr>
      <w:r>
        <w:rPr>
          <w:rFonts w:ascii="Calibri" w:hAnsi="Calibri"/>
          <w:b/>
          <w:color w:val="3B4259"/>
          <w:sz w:val="28"/>
        </w:rPr>
        <w:t>6. Peer Commentaries — Read-Through for ETN Q2 2026</w:t>
      </w:r>
    </w:p>
    <w:p>
      <w:r>
        <w:rPr>
          <w:rFonts w:ascii="Calibri" w:hAnsi="Calibri"/>
          <w:b/>
          <w:color w:val="525866"/>
          <w:sz w:val="22"/>
        </w:rPr>
        <w:t xml:space="preserve">Key Takeaway: </w:t>
      </w:r>
      <w:r>
        <w:rPr>
          <w:rFonts w:ascii="Calibri" w:hAnsi="Calibri"/>
          <w:color w:val="525866"/>
          <w:sz w:val="22"/>
        </w:rPr>
        <w:t xml:space="preserve">Peer commentary from the last 60 days is overwhelmingly positive for ETN’s Q2 setup — data center demand is accelerating across the board, with multiple peers reporting record orders and raising full-year guidance. The </w:t>
      </w:r>
      <w:r>
        <w:rPr>
          <w:rFonts w:ascii="Calibri" w:hAnsi="Calibri"/>
          <w:b/>
          <w:color w:val="525866"/>
          <w:sz w:val="22"/>
        </w:rPr>
        <w:t>most important read-through is from GE Vernova (GEV) and Vertiv (VRT)</w:t>
      </w:r>
      <w:r>
        <w:rPr>
          <w:rFonts w:ascii="Calibri" w:hAnsi="Calibri"/>
          <w:color w:val="525866"/>
          <w:sz w:val="22"/>
        </w:rPr>
        <w:t>, which directly corroborate ETN’s data center demand thesis and suggest the revenue bar is achievable. The key risk read-through is from Hubbell (HUBB) and Carrier (CARR), which flagged margin pressure from input cost inflation and mix headwinds — consistent with ETN’s own Q1 experience.</w:t>
      </w:r>
    </w:p>
    <w:p>
      <w:r>
        <w:rPr>
          <w:rFonts w:ascii="Calibri" w:hAnsi="Calibri"/>
          <w:i/>
          <w:color w:val="525866"/>
          <w:sz w:val="22"/>
        </w:rPr>
        <w:t>Note: Only commentary from peers reporting on or after May 5, 2026 (ETN’s Q1 2026 earnings date) is included below, covering their Q2 2026 results or forward-looking commentary about the current demand environment relevant to ETN’s Q2 2026 reporting period.</w:t>
      </w:r>
    </w:p>
    <w:p>
      <w:pPr>
        <w:pStyle w:val="Heading3"/>
      </w:pPr>
      <w:r>
        <w:rPr>
          <w:rFonts w:ascii="Calibri" w:hAnsi="Calibri"/>
          <w:b/>
          <w:color w:val="3B4259"/>
          <w:sz w:val="24"/>
        </w:rPr>
        <w:t>GE Vernova (GEV) — Q2 2026 Earnings (July 22, 2026)</w:t>
      </w:r>
    </w:p>
    <w:p>
      <w:r>
        <w:rPr>
          <w:rFonts w:ascii="Calibri" w:hAnsi="Calibri"/>
          <w:b/>
          <w:color w:val="525866"/>
          <w:sz w:val="22"/>
        </w:rPr>
        <w:t xml:space="preserve">Relevance: </w:t>
      </w:r>
      <w:r>
        <w:rPr>
          <w:rFonts w:ascii="Calibri" w:hAnsi="Calibri"/>
          <w:color w:val="525866"/>
          <w:sz w:val="22"/>
        </w:rPr>
        <w:t>STRONG POSITIVE. GEV is the most direct read-through for ETN’s data center power demand thesis and electrical infrastructure orders.</w:t>
      </w:r>
    </w:p>
    <w:p>
      <w:pPr>
        <w:pStyle w:val="ListBullet"/>
        <w:ind w:left="360" w:hanging="360"/>
      </w:pPr>
      <w:r>
        <w:rPr>
          <w:rFonts w:ascii="Calibri" w:hAnsi="Calibri"/>
          <w:b/>
          <w:color w:val="525866"/>
          <w:sz w:val="22"/>
        </w:rPr>
        <w:t xml:space="preserve">Data center orders surging: </w:t>
      </w:r>
      <w:r>
        <w:rPr>
          <w:rFonts w:ascii="Calibri" w:hAnsi="Calibri"/>
          <w:color w:val="525866"/>
          <w:sz w:val="22"/>
        </w:rPr>
        <w:t>GEV booked $2.7B of data center orders in electrification in Q2 2026 alone, bringing H1 2026 data center orders to over $5B — more than double the full-year 2025 amount. This directly corroborates ETN’s 240% rolling 12-month data center order growth and suggests demand has not slowed.</w:t>
      </w:r>
    </w:p>
    <w:p>
      <w:pPr>
        <w:pStyle w:val="ListBullet"/>
        <w:ind w:left="360" w:hanging="360"/>
      </w:pPr>
      <w:r>
        <w:rPr>
          <w:rFonts w:ascii="Calibri" w:hAnsi="Calibri"/>
          <w:b/>
          <w:color w:val="525866"/>
          <w:sz w:val="22"/>
        </w:rPr>
        <w:t xml:space="preserve">Electrification backlog at record: </w:t>
      </w:r>
      <w:r>
        <w:rPr>
          <w:rFonts w:ascii="Calibri" w:hAnsi="Calibri"/>
          <w:color w:val="525866"/>
          <w:sz w:val="22"/>
        </w:rPr>
        <w:t>GEV’s electrification equipment backlog rose above $40B in Q2 2026, up 69% YoY, with North America the largest portion. This is consistent with ETN’s own record electrical backlog (+48% YoY) and supports continued strong revenue conversion.</w:t>
      </w:r>
    </w:p>
    <w:p>
      <w:pPr>
        <w:pStyle w:val="ListBullet"/>
        <w:ind w:left="360" w:hanging="360"/>
      </w:pPr>
      <w:r>
        <w:rPr>
          <w:rFonts w:ascii="Calibri" w:hAnsi="Calibri"/>
          <w:b/>
          <w:color w:val="525866"/>
          <w:sz w:val="22"/>
        </w:rPr>
        <w:t xml:space="preserve">800V DC / Solid-State Transformer timeline aligned: </w:t>
      </w:r>
      <w:r>
        <w:rPr>
          <w:rFonts w:ascii="Calibri" w:hAnsi="Calibri"/>
          <w:color w:val="525866"/>
          <w:sz w:val="22"/>
        </w:rPr>
        <w:t>GEV is building a 5MW SST prototype for delivery to a hyperscaler later in 2026 for testing, with MV UPS orders potentially coming before SST orders at scale. This aligns with ETN’s own 800V DC commercialization timeline (orders in H2 2026, shipments in late 2027/early 2028) and validates the technology roadmap.</w:t>
      </w:r>
    </w:p>
    <w:p>
      <w:pPr>
        <w:pStyle w:val="ListBullet"/>
        <w:ind w:left="360" w:hanging="360"/>
      </w:pPr>
      <w:r>
        <w:rPr>
          <w:rFonts w:ascii="Calibri" w:hAnsi="Calibri"/>
          <w:b/>
          <w:color w:val="525866"/>
          <w:sz w:val="22"/>
        </w:rPr>
        <w:t xml:space="preserve">Incremental scope per GW: </w:t>
      </w:r>
      <w:r>
        <w:rPr>
          <w:rFonts w:ascii="Calibri" w:hAnsi="Calibri"/>
          <w:color w:val="525866"/>
          <w:sz w:val="22"/>
        </w:rPr>
        <w:t>GEV estimates incremental scope per GW for data centers (including MV UPS and SST) at 2–3x the current $200–$300M per MW — a significant content expansion opportunity that ETN is also positioned to capture through its grid-to-chip portfolio.</w:t>
      </w:r>
    </w:p>
    <w:p>
      <w:pPr>
        <w:pStyle w:val="ListBullet"/>
        <w:ind w:left="360" w:hanging="360"/>
      </w:pPr>
      <w:r>
        <w:rPr>
          <w:rFonts w:ascii="Calibri" w:hAnsi="Calibri"/>
          <w:b/>
          <w:color w:val="525866"/>
          <w:sz w:val="22"/>
        </w:rPr>
        <w:t xml:space="preserve">Full-year revenue guidance raised: </w:t>
      </w:r>
      <w:r>
        <w:rPr>
          <w:rFonts w:ascii="Calibri" w:hAnsi="Calibri"/>
          <w:color w:val="525866"/>
          <w:sz w:val="22"/>
        </w:rPr>
        <w:t>GEV raised FY2026 revenue guidance to $45.5–$46.5B (+$1B), driven by electrification and power. Positive read-through for ETN’s Electrical Americas revenue trajectory.</w:t>
      </w:r>
    </w:p>
    <w:p>
      <w:pPr>
        <w:pStyle w:val="Heading3"/>
      </w:pPr>
      <w:r>
        <w:rPr>
          <w:rFonts w:ascii="Calibri" w:hAnsi="Calibri"/>
          <w:b/>
          <w:color w:val="3B4259"/>
          <w:sz w:val="24"/>
        </w:rPr>
        <w:t>Vertiv (VRT) — Q2 2026 Earnings (July 29, 2026)</w:t>
      </w:r>
    </w:p>
    <w:p>
      <w:r>
        <w:rPr>
          <w:rFonts w:ascii="Calibri" w:hAnsi="Calibri"/>
          <w:b/>
          <w:color w:val="525866"/>
          <w:sz w:val="22"/>
        </w:rPr>
        <w:t xml:space="preserve">Relevance: </w:t>
      </w:r>
      <w:r>
        <w:rPr>
          <w:rFonts w:ascii="Calibri" w:hAnsi="Calibri"/>
          <w:color w:val="525866"/>
          <w:sz w:val="22"/>
        </w:rPr>
        <w:t>STRONG POSITIVE. VRT is ETN’s closest peer in data center power and thermal infrastructure; its results are the most direct demand read-through.</w:t>
      </w:r>
    </w:p>
    <w:p>
      <w:pPr>
        <w:pStyle w:val="ListBullet"/>
        <w:ind w:left="360" w:hanging="360"/>
      </w:pPr>
      <w:r>
        <w:rPr>
          <w:rFonts w:ascii="Calibri" w:hAnsi="Calibri"/>
          <w:b/>
          <w:color w:val="525866"/>
          <w:sz w:val="22"/>
        </w:rPr>
        <w:t xml:space="preserve">Demand signals “clear and broad-based”: </w:t>
      </w:r>
      <w:r>
        <w:rPr>
          <w:rFonts w:ascii="Calibri" w:hAnsi="Calibri"/>
          <w:color w:val="525866"/>
          <w:sz w:val="22"/>
        </w:rPr>
        <w:t>VRT reported 18% organic sales growth in Q2 2026 with Americas growing 21% organically. Pipeline is “actually accelerating” with faster sales cycles and growing pipeline size across hyperscalers, enterprise, colo, and neo-cloud. This is a strong positive read-through for ETN’s data center revenue in Q2.</w:t>
      </w:r>
    </w:p>
    <w:p>
      <w:pPr>
        <w:pStyle w:val="ListBullet"/>
        <w:ind w:left="360" w:hanging="360"/>
      </w:pPr>
      <w:r>
        <w:rPr>
          <w:rFonts w:ascii="Calibri" w:hAnsi="Calibri"/>
          <w:b/>
          <w:color w:val="525866"/>
          <w:sz w:val="22"/>
        </w:rPr>
        <w:t xml:space="preserve">Margin expansion despite tariffs: </w:t>
      </w:r>
      <w:r>
        <w:rPr>
          <w:rFonts w:ascii="Calibri" w:hAnsi="Calibri"/>
          <w:color w:val="525866"/>
          <w:sz w:val="22"/>
        </w:rPr>
        <w:t>VRT delivered 22.6% adjusted operating margin in Q2 2026, up 410 bps YoY, with positive price-cost execution despite tariff headwinds. This is a positive read-through for ETN’s ability to recover Electrical Americas margins through pricing actions.</w:t>
      </w:r>
    </w:p>
    <w:p>
      <w:pPr>
        <w:pStyle w:val="ListBullet"/>
        <w:ind w:left="360" w:hanging="360"/>
      </w:pPr>
      <w:r>
        <w:rPr>
          <w:rFonts w:ascii="Calibri" w:hAnsi="Calibri"/>
          <w:b/>
          <w:color w:val="525866"/>
          <w:sz w:val="22"/>
        </w:rPr>
        <w:t xml:space="preserve">800V DC validation timeline: </w:t>
      </w:r>
      <w:r>
        <w:rPr>
          <w:rFonts w:ascii="Calibri" w:hAnsi="Calibri"/>
          <w:color w:val="525866"/>
          <w:sz w:val="22"/>
        </w:rPr>
        <w:t>VRT’s 800V DC sidecars are “under customer validation in 2026, with deployment planned in 2027” — directly aligned with ETN’s own commercialization timeline and validating the technology transition is on track.</w:t>
      </w:r>
    </w:p>
    <w:p>
      <w:pPr>
        <w:pStyle w:val="ListBullet"/>
        <w:ind w:left="360" w:hanging="360"/>
      </w:pPr>
      <w:r>
        <w:rPr>
          <w:rFonts w:ascii="Calibri" w:hAnsi="Calibri"/>
          <w:b/>
          <w:color w:val="525866"/>
          <w:sz w:val="22"/>
        </w:rPr>
        <w:t xml:space="preserve">Full-year guidance raised across all metrics: </w:t>
      </w:r>
      <w:r>
        <w:rPr>
          <w:rFonts w:ascii="Calibri" w:hAnsi="Calibri"/>
          <w:color w:val="525866"/>
          <w:sz w:val="22"/>
        </w:rPr>
        <w:t>VRT raised FY2026 EPS guidance to $6.70 (mid), up $0.35, and revenue to $14B (+$250M). The company expressed “full confidence in H2 execution and backlog.” Strong positive read-through for ETN’s H2 revenue ramp.</w:t>
      </w:r>
    </w:p>
    <w:p>
      <w:pPr>
        <w:pStyle w:val="ListBullet"/>
        <w:ind w:left="360" w:hanging="360"/>
      </w:pPr>
      <w:r>
        <w:rPr>
          <w:rFonts w:ascii="Calibri" w:hAnsi="Calibri"/>
          <w:b/>
          <w:color w:val="525866"/>
          <w:sz w:val="22"/>
        </w:rPr>
        <w:t xml:space="preserve">Minor Q2 timing shifts: </w:t>
      </w:r>
      <w:r>
        <w:rPr>
          <w:rFonts w:ascii="Calibri" w:hAnsi="Calibri"/>
          <w:color w:val="525866"/>
          <w:sz w:val="22"/>
        </w:rPr>
        <w:t>VRT noted “minor timing shifts in Q2 revenue” due to multi-phase project execution and supply chain dynamics, with revenue expected to resolve in H2. This is a mild caution for ETN — large project timing could also affect Q2 revenue recognition.</w:t>
      </w:r>
    </w:p>
    <w:p>
      <w:pPr>
        <w:pStyle w:val="Heading3"/>
      </w:pPr>
      <w:r>
        <w:rPr>
          <w:rFonts w:ascii="Calibri" w:hAnsi="Calibri"/>
          <w:b/>
          <w:color w:val="3B4259"/>
          <w:sz w:val="24"/>
        </w:rPr>
        <w:t>Hubbell (HUBB) — Q2 2026 Earnings (July 28, 2026)</w:t>
      </w:r>
    </w:p>
    <w:p>
      <w:r>
        <w:rPr>
          <w:rFonts w:ascii="Calibri" w:hAnsi="Calibri"/>
          <w:b/>
          <w:color w:val="525866"/>
          <w:sz w:val="22"/>
        </w:rPr>
        <w:t xml:space="preserve">Relevance: </w:t>
      </w:r>
      <w:r>
        <w:rPr>
          <w:rFonts w:ascii="Calibri" w:hAnsi="Calibri"/>
          <w:color w:val="525866"/>
          <w:sz w:val="22"/>
        </w:rPr>
        <w:t>POSITIVE with margin caution. HUBB is a direct peer in electrical infrastructure (T&amp;D, data centers); its results read through to ETN’s Electrical Americas segment.</w:t>
      </w:r>
    </w:p>
    <w:p>
      <w:pPr>
        <w:pStyle w:val="ListBullet"/>
        <w:ind w:left="360" w:hanging="360"/>
      </w:pPr>
      <w:r>
        <w:rPr>
          <w:rFonts w:ascii="Calibri" w:hAnsi="Calibri"/>
          <w:b/>
          <w:color w:val="525866"/>
          <w:sz w:val="22"/>
        </w:rPr>
        <w:t xml:space="preserve">Data center sales up ~65% in Q2: </w:t>
      </w:r>
      <w:r>
        <w:rPr>
          <w:rFonts w:ascii="Calibri" w:hAnsi="Calibri"/>
          <w:color w:val="525866"/>
          <w:sz w:val="22"/>
        </w:rPr>
        <w:t>HUBB reported data center sales up approximately 65% in Q2 2026, driven by capacity additions, new product introductions, and content gains. Full-year data center growth outlook raised to ~50%. This is a strong positive read-through for ETN’s data center revenue trajectory.</w:t>
      </w:r>
    </w:p>
    <w:p>
      <w:pPr>
        <w:pStyle w:val="ListBullet"/>
        <w:ind w:left="360" w:hanging="360"/>
      </w:pPr>
      <w:r>
        <w:rPr>
          <w:rFonts w:ascii="Calibri" w:hAnsi="Calibri"/>
          <w:b/>
          <w:color w:val="525866"/>
          <w:sz w:val="22"/>
        </w:rPr>
        <w:t xml:space="preserve">Utility T&amp;D demand accelerating: </w:t>
      </w:r>
      <w:r>
        <w:rPr>
          <w:rFonts w:ascii="Calibri" w:hAnsi="Calibri"/>
          <w:color w:val="525866"/>
          <w:sz w:val="22"/>
        </w:rPr>
        <w:t>HUBB’s Utility Solutions book-to-bill was ~1.2x in H1 2026, with orders being booked into 2027 for transmission and substation. Project quote activity has “about doubled in the last couple of years.” Positive read-through for ETN’s grid infrastructure exposure.</w:t>
      </w:r>
    </w:p>
    <w:p>
      <w:pPr>
        <w:pStyle w:val="ListBullet"/>
        <w:ind w:left="360" w:hanging="360"/>
      </w:pPr>
      <w:r>
        <w:rPr>
          <w:rFonts w:ascii="Calibri" w:hAnsi="Calibri"/>
          <w:b/>
          <w:color w:val="525866"/>
          <w:sz w:val="22"/>
        </w:rPr>
        <w:t xml:space="preserve">Margin pressure from input costs: </w:t>
      </w:r>
      <w:r>
        <w:rPr>
          <w:rFonts w:ascii="Calibri" w:hAnsi="Calibri"/>
          <w:color w:val="525866"/>
          <w:sz w:val="22"/>
        </w:rPr>
        <w:t>HUBB’s Electrical Solutions adjusted operating margins were down 130 bps YoY in Q2 due to price-cost headwinds and restructuring investment. The company implemented an April price increase (+1 pt) and a July price increase (+0.5 pt), targeting 3–4 pts of full-year price. This is a direct read-through for ETN’s own April 1 price increase and the pace of margin recovery — HUBB’s experience suggests pricing is flowing through but with a lag.</w:t>
      </w:r>
    </w:p>
    <w:p>
      <w:pPr>
        <w:pStyle w:val="ListBullet"/>
        <w:ind w:left="360" w:hanging="360"/>
      </w:pPr>
      <w:r>
        <w:rPr>
          <w:rFonts w:ascii="Calibri" w:hAnsi="Calibri"/>
          <w:b/>
          <w:color w:val="525866"/>
          <w:sz w:val="22"/>
        </w:rPr>
        <w:t xml:space="preserve">Electrical Solutions margin expansion expected in H2: </w:t>
      </w:r>
      <w:r>
        <w:rPr>
          <w:rFonts w:ascii="Calibri" w:hAnsi="Calibri"/>
          <w:color w:val="525866"/>
          <w:sz w:val="22"/>
        </w:rPr>
        <w:t>HUBB guided Electrical Solutions to return to margin expansion in H2 2026, consistent with ETN’s own sequential improvement narrative. Positive read-through for ETN’s margin recovery trajectory.</w:t>
      </w:r>
    </w:p>
    <w:p>
      <w:pPr>
        <w:pStyle w:val="ListBullet"/>
        <w:ind w:left="360" w:hanging="360"/>
      </w:pPr>
      <w:r>
        <w:rPr>
          <w:rFonts w:ascii="Calibri" w:hAnsi="Calibri"/>
          <w:b/>
          <w:color w:val="525866"/>
          <w:sz w:val="22"/>
        </w:rPr>
        <w:t xml:space="preserve">800V infrastructure products: </w:t>
      </w:r>
      <w:r>
        <w:rPr>
          <w:rFonts w:ascii="Calibri" w:hAnsi="Calibri"/>
          <w:color w:val="525866"/>
          <w:sz w:val="22"/>
        </w:rPr>
        <w:t>HUBB noted new pin sleeve devices going to higher amperage for 800V infrastructure, confirming the technology transition is driving content expansion across the electrical ecosystem.</w:t>
      </w:r>
    </w:p>
    <w:p>
      <w:pPr>
        <w:pStyle w:val="Heading3"/>
      </w:pPr>
      <w:r>
        <w:rPr>
          <w:rFonts w:ascii="Calibri" w:hAnsi="Calibri"/>
          <w:b/>
          <w:color w:val="3B4259"/>
          <w:sz w:val="24"/>
        </w:rPr>
        <w:t>Johnson Controls (JCI) — Q3 FY2026 Earnings (July 29, 2026)</w:t>
      </w:r>
    </w:p>
    <w:p>
      <w:r>
        <w:rPr>
          <w:rFonts w:ascii="Calibri" w:hAnsi="Calibri"/>
          <w:b/>
          <w:color w:val="525866"/>
          <w:sz w:val="22"/>
        </w:rPr>
        <w:t xml:space="preserve">Relevance: </w:t>
      </w:r>
      <w:r>
        <w:rPr>
          <w:rFonts w:ascii="Calibri" w:hAnsi="Calibri"/>
          <w:color w:val="525866"/>
          <w:sz w:val="22"/>
        </w:rPr>
        <w:t>POSITIVE. JCI is a read-through for data center thermal management demand and the broader AI infrastructure buildout.</w:t>
      </w:r>
    </w:p>
    <w:p>
      <w:pPr>
        <w:pStyle w:val="ListBullet"/>
        <w:ind w:left="360" w:hanging="360"/>
      </w:pPr>
      <w:r>
        <w:rPr>
          <w:rFonts w:ascii="Calibri" w:hAnsi="Calibri"/>
          <w:b/>
          <w:color w:val="525866"/>
          <w:sz w:val="22"/>
        </w:rPr>
        <w:t xml:space="preserve">Data center demand sustained above 25% order growth: </w:t>
      </w:r>
      <w:r>
        <w:rPr>
          <w:rFonts w:ascii="Calibri" w:hAnsi="Calibri"/>
          <w:color w:val="525866"/>
          <w:sz w:val="22"/>
        </w:rPr>
        <w:t>JCI reported order momentum sustained above 25% in its fiscal Q3 2026, with Americas orders up 37% led by data centers and mission-critical environments. Applied HVAC delivered high-teen growth supported by data center demand. Positive read-through for ETN’s data center revenue.</w:t>
      </w:r>
    </w:p>
    <w:p>
      <w:pPr>
        <w:pStyle w:val="ListBullet"/>
        <w:ind w:left="360" w:hanging="360"/>
      </w:pPr>
      <w:r>
        <w:rPr>
          <w:rFonts w:ascii="Calibri" w:hAnsi="Calibri"/>
          <w:b/>
          <w:color w:val="525866"/>
          <w:sz w:val="22"/>
        </w:rPr>
        <w:t xml:space="preserve">Record backlog of $21B: </w:t>
      </w:r>
      <w:r>
        <w:rPr>
          <w:rFonts w:ascii="Calibri" w:hAnsi="Calibri"/>
          <w:color w:val="525866"/>
          <w:sz w:val="22"/>
        </w:rPr>
        <w:t>JCI’s backlog grew more than 30% to a record $21B, with the CDU (Cooling Distribution Unit) pipeline reaching $1B. Consistent with ETN’s own record backlog narrative.</w:t>
      </w:r>
    </w:p>
    <w:p>
      <w:pPr>
        <w:pStyle w:val="ListBullet"/>
        <w:ind w:left="360" w:hanging="360"/>
      </w:pPr>
      <w:r>
        <w:rPr>
          <w:rFonts w:ascii="Calibri" w:hAnsi="Calibri"/>
          <w:b/>
          <w:color w:val="525866"/>
          <w:sz w:val="22"/>
        </w:rPr>
        <w:t xml:space="preserve">Data center to be ~1/3 of revenue in 3–5 years: </w:t>
      </w:r>
      <w:r>
        <w:rPr>
          <w:rFonts w:ascii="Calibri" w:hAnsi="Calibri"/>
          <w:color w:val="525866"/>
          <w:sz w:val="22"/>
        </w:rPr>
        <w:t>JCI guided data center revenue to be in the high teens as a percentage of FY2026 revenue, growing to a third of the company over 3–5 years. This validates the multi-year secular growth thesis that underpins ETN’s long-term margin targets.</w:t>
      </w:r>
    </w:p>
    <w:p>
      <w:pPr>
        <w:pStyle w:val="ListBullet"/>
        <w:ind w:left="360" w:hanging="360"/>
      </w:pPr>
      <w:r>
        <w:rPr>
          <w:rFonts w:ascii="Calibri" w:hAnsi="Calibri"/>
          <w:b/>
          <w:color w:val="525866"/>
          <w:sz w:val="22"/>
        </w:rPr>
        <w:t xml:space="preserve">Strong margin expansion: </w:t>
      </w:r>
      <w:r>
        <w:rPr>
          <w:rFonts w:ascii="Calibri" w:hAnsi="Calibri"/>
          <w:color w:val="525866"/>
          <w:sz w:val="22"/>
        </w:rPr>
        <w:t>JCI’s adjusted EBIT margin expanded 260 bps to 17% in fiscal Q3 2026, with operating leverage of 45–50%. Positive read-through for ETN’s ability to deliver margin expansion as volumes ramp.</w:t>
      </w:r>
    </w:p>
    <w:p>
      <w:pPr>
        <w:pStyle w:val="Heading3"/>
      </w:pPr>
      <w:r>
        <w:rPr>
          <w:rFonts w:ascii="Calibri" w:hAnsi="Calibri"/>
          <w:b/>
          <w:color w:val="3B4259"/>
          <w:sz w:val="24"/>
        </w:rPr>
        <w:t>Carrier Global (CARR) — Q2 2026 Earnings (July 28, 2026)</w:t>
      </w:r>
    </w:p>
    <w:p>
      <w:r>
        <w:rPr>
          <w:rFonts w:ascii="Calibri" w:hAnsi="Calibri"/>
          <w:b/>
          <w:color w:val="525866"/>
          <w:sz w:val="22"/>
        </w:rPr>
        <w:t xml:space="preserve">Relevance: </w:t>
      </w:r>
      <w:r>
        <w:rPr>
          <w:rFonts w:ascii="Calibri" w:hAnsi="Calibri"/>
          <w:color w:val="525866"/>
          <w:sz w:val="22"/>
        </w:rPr>
        <w:t>MIXED. CARR is a read-through for data center HVAC/cooling demand and the margin dynamics of serving hyperscalers.</w:t>
      </w:r>
    </w:p>
    <w:p>
      <w:pPr>
        <w:pStyle w:val="ListBullet"/>
        <w:ind w:left="360" w:hanging="360"/>
      </w:pPr>
      <w:r>
        <w:rPr>
          <w:rFonts w:ascii="Calibri" w:hAnsi="Calibri"/>
          <w:b/>
          <w:color w:val="525866"/>
          <w:sz w:val="22"/>
        </w:rPr>
        <w:t xml:space="preserve">Data center orders up 4x YoY: </w:t>
      </w:r>
      <w:r>
        <w:rPr>
          <w:rFonts w:ascii="Calibri" w:hAnsi="Calibri"/>
          <w:color w:val="525866"/>
          <w:sz w:val="22"/>
        </w:rPr>
        <w:t>CARR reported commercial HVAC orders up ~65% in Q2 2026, with data center orders up fourfold. Full-year data center revenue outlook raised to ~$2B (second consecutive year of doubling). Strongly positive read-through for ETN’s data center demand.</w:t>
      </w:r>
    </w:p>
    <w:p>
      <w:pPr>
        <w:pStyle w:val="ListBullet"/>
        <w:ind w:left="360" w:hanging="360"/>
      </w:pPr>
      <w:r>
        <w:rPr>
          <w:rFonts w:ascii="Calibri" w:hAnsi="Calibri"/>
          <w:b/>
          <w:color w:val="525866"/>
          <w:sz w:val="22"/>
        </w:rPr>
        <w:t xml:space="preserve">Backlog over $8B, up 40% YoY: </w:t>
      </w:r>
      <w:r>
        <w:rPr>
          <w:rFonts w:ascii="Calibri" w:hAnsi="Calibri"/>
          <w:color w:val="525866"/>
          <w:sz w:val="22"/>
        </w:rPr>
        <w:t>CARR’s total backlog exceeded $8B, up ~40% YoY and 20% sequentially, with 40% of commercial backlog attributed to data centers. Consistent with ETN’s record backlog narrative.</w:t>
      </w:r>
    </w:p>
    <w:p>
      <w:pPr>
        <w:pStyle w:val="ListBullet"/>
        <w:ind w:left="360" w:hanging="360"/>
      </w:pPr>
      <w:r>
        <w:rPr>
          <w:rFonts w:ascii="Calibri" w:hAnsi="Calibri"/>
          <w:b/>
          <w:color w:val="525866"/>
          <w:sz w:val="22"/>
        </w:rPr>
        <w:t xml:space="preserve">Margin headwinds from mix and tariffs: </w:t>
      </w:r>
      <w:r>
        <w:rPr>
          <w:rFonts w:ascii="Calibri" w:hAnsi="Calibri"/>
          <w:color w:val="525866"/>
          <w:sz w:val="22"/>
        </w:rPr>
        <w:t>CARR’s Q2 segment margins were described as “disappointing,” with unfavorable mix (higher new construction vs. replacement) and tariff headwinds offsetting volume and pricing benefits. This is a caution for ETN — the mix shift toward large data center projects (lower initial margins) could weigh on Electrical Americas margins even as volumes grow.</w:t>
      </w:r>
    </w:p>
    <w:p>
      <w:pPr>
        <w:pStyle w:val="ListBullet"/>
        <w:ind w:left="360" w:hanging="360"/>
      </w:pPr>
      <w:r>
        <w:rPr>
          <w:rFonts w:ascii="Calibri" w:hAnsi="Calibri"/>
          <w:b/>
          <w:color w:val="525866"/>
          <w:sz w:val="22"/>
        </w:rPr>
        <w:t xml:space="preserve">Aggressive capacity expansion: </w:t>
      </w:r>
      <w:r>
        <w:rPr>
          <w:rFonts w:ascii="Calibri" w:hAnsi="Calibri"/>
          <w:color w:val="525866"/>
          <w:sz w:val="22"/>
        </w:rPr>
        <w:t>CARR announced a new U.S. facility (Texas/Alabama) expected online by end of Q1 2027, with $100M of incremental CapEx. This validates ETN’s own $1B+ capacity expansion program and the industry-wide investment cycle.</w:t>
      </w:r>
    </w:p>
    <w:p>
      <w:pPr>
        <w:pStyle w:val="Heading3"/>
      </w:pPr>
      <w:r>
        <w:rPr>
          <w:rFonts w:ascii="Calibri" w:hAnsi="Calibri"/>
          <w:b/>
          <w:color w:val="3B4259"/>
          <w:sz w:val="24"/>
        </w:rPr>
        <w:t>Honeywell (HON) — Q2 2026 Earnings (July 23, 2026)</w:t>
      </w:r>
    </w:p>
    <w:p>
      <w:r>
        <w:rPr>
          <w:rFonts w:ascii="Calibri" w:hAnsi="Calibri"/>
          <w:b/>
          <w:color w:val="525866"/>
          <w:sz w:val="22"/>
        </w:rPr>
        <w:t xml:space="preserve">Relevance: </w:t>
      </w:r>
      <w:r>
        <w:rPr>
          <w:rFonts w:ascii="Calibri" w:hAnsi="Calibri"/>
          <w:color w:val="525866"/>
          <w:sz w:val="22"/>
        </w:rPr>
        <w:t>MODERATE POSITIVE. HON is a broad industrial conglomerate read-through; its data center and process automation commentary is relevant to ETN’s end markets.</w:t>
      </w:r>
    </w:p>
    <w:p>
      <w:pPr>
        <w:pStyle w:val="ListBullet"/>
        <w:ind w:left="360" w:hanging="360"/>
      </w:pPr>
      <w:r>
        <w:rPr>
          <w:rFonts w:ascii="Calibri" w:hAnsi="Calibri"/>
          <w:b/>
          <w:color w:val="525866"/>
          <w:sz w:val="22"/>
        </w:rPr>
        <w:t xml:space="preserve">Building Automation orders up 13% with data center contribution: </w:t>
      </w:r>
      <w:r>
        <w:rPr>
          <w:rFonts w:ascii="Calibri" w:hAnsi="Calibri"/>
          <w:color w:val="525866"/>
          <w:sz w:val="22"/>
        </w:rPr>
        <w:t>HON’s Building Automation segment saw 13% orders growth in Q2 2026, with a substantial portion from data centers. Data center exposure growing from “almost nothing 3–4 years ago” to 5% of Building Automation, with expectations to increase across the company. Positive read-through for ETN’s data center demand.</w:t>
      </w:r>
    </w:p>
    <w:p>
      <w:pPr>
        <w:pStyle w:val="ListBullet"/>
        <w:ind w:left="360" w:hanging="360"/>
      </w:pPr>
      <w:r>
        <w:rPr>
          <w:rFonts w:ascii="Calibri" w:hAnsi="Calibri"/>
          <w:b/>
          <w:color w:val="525866"/>
          <w:sz w:val="22"/>
        </w:rPr>
        <w:t xml:space="preserve">Margin expansion of 100 bps to 19%: </w:t>
      </w:r>
      <w:r>
        <w:rPr>
          <w:rFonts w:ascii="Calibri" w:hAnsi="Calibri"/>
          <w:color w:val="525866"/>
          <w:sz w:val="22"/>
        </w:rPr>
        <w:t>HON expanded segment margin by 100 bps in Q2 2026 despite significant cost inflation, through productivity and volume leverage. Positive read-through for ETN’s ability to recover margins through operational execution.</w:t>
      </w:r>
    </w:p>
    <w:p>
      <w:pPr>
        <w:pStyle w:val="ListBullet"/>
        <w:ind w:left="360" w:hanging="360"/>
      </w:pPr>
      <w:r>
        <w:rPr>
          <w:rFonts w:ascii="Calibri" w:hAnsi="Calibri"/>
          <w:b/>
          <w:color w:val="525866"/>
          <w:sz w:val="22"/>
        </w:rPr>
        <w:t xml:space="preserve">Inflation “stubborn” in electronics, copper, and labor: </w:t>
      </w:r>
      <w:r>
        <w:rPr>
          <w:rFonts w:ascii="Calibri" w:hAnsi="Calibri"/>
          <w:color w:val="525866"/>
          <w:sz w:val="22"/>
        </w:rPr>
        <w:t>HON flagged persistent inflation in electronics, memory, copper, and labor, with pricing of ~4% expected to cover inflation in H2. This is a direct read-through for ETN’s own input cost environment and validates the need for the April 1 price increase.</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HON raised FY2026 organic growth guidance to 3–4% (from 2–3%) and EPS to $8.20 midpoint (from $8.10). Positive read-through for the broader industrial demand environment.</w:t>
      </w:r>
    </w:p>
    <w:p>
      <w:pPr>
        <w:pStyle w:val="Heading3"/>
      </w:pPr>
      <w:r>
        <w:rPr>
          <w:rFonts w:ascii="Calibri" w:hAnsi="Calibri"/>
          <w:b/>
          <w:color w:val="3B4259"/>
          <w:sz w:val="24"/>
        </w:rPr>
        <w:t>Vertiv Investor Conference (VRT) — May 20, 2026</w:t>
      </w:r>
    </w:p>
    <w:p>
      <w:r>
        <w:rPr>
          <w:rFonts w:ascii="Calibri" w:hAnsi="Calibri"/>
          <w:b/>
          <w:color w:val="525866"/>
          <w:sz w:val="22"/>
        </w:rPr>
        <w:t xml:space="preserve">Relevance: </w:t>
      </w:r>
      <w:r>
        <w:rPr>
          <w:rFonts w:ascii="Calibri" w:hAnsi="Calibri"/>
          <w:color w:val="525866"/>
          <w:sz w:val="22"/>
        </w:rPr>
        <w:t>POSITIVE. VRT’s Chief Product &amp; Technology Officer provided detailed commentary on the 800V DC architecture transition timeline, directly relevant to ETN’s next-generation product roadmap.</w:t>
      </w:r>
    </w:p>
    <w:p>
      <w:pPr>
        <w:pStyle w:val="ListBullet"/>
        <w:ind w:left="360" w:hanging="360"/>
      </w:pPr>
      <w:r>
        <w:rPr>
          <w:rFonts w:ascii="Calibri" w:hAnsi="Calibri"/>
          <w:b/>
          <w:color w:val="525866"/>
          <w:sz w:val="22"/>
        </w:rPr>
        <w:t xml:space="preserve">800V DC commercialization in early 2027: </w:t>
      </w:r>
      <w:r>
        <w:rPr>
          <w:rFonts w:ascii="Calibri" w:hAnsi="Calibri"/>
          <w:color w:val="525866"/>
          <w:sz w:val="22"/>
        </w:rPr>
        <w:t>VRT’s new 800V DC power product will be “ready end of 2026” with “commercialization in early 2027 and a steady ramp throughout 2027.” This is directly aligned with ETN’s own 800V DC timeline and validates the technology transition is on track.</w:t>
      </w:r>
    </w:p>
    <w:p>
      <w:pPr>
        <w:pStyle w:val="ListBullet"/>
        <w:ind w:left="360" w:hanging="360"/>
      </w:pPr>
      <w:r>
        <w:rPr>
          <w:rFonts w:ascii="Calibri" w:hAnsi="Calibri"/>
          <w:b/>
          <w:color w:val="525866"/>
          <w:sz w:val="22"/>
        </w:rPr>
        <w:t xml:space="preserve">Rack density approaching 300kW and beyond: </w:t>
      </w:r>
      <w:r>
        <w:rPr>
          <w:rFonts w:ascii="Calibri" w:hAnsi="Calibri"/>
          <w:color w:val="525866"/>
          <w:sz w:val="22"/>
        </w:rPr>
        <w:t>AI/GPU racks currently at 140kW, rapidly approaching 300kW, moving to 600kW, with megawatt racks “within the time horizon.” This density escalation drives content expansion for ETN’s power management portfolio.</w:t>
      </w:r>
    </w:p>
    <w:p>
      <w:pPr>
        <w:pStyle w:val="ListBullet"/>
        <w:ind w:left="360" w:hanging="360"/>
      </w:pPr>
      <w:r>
        <w:rPr>
          <w:rFonts w:ascii="Calibri" w:hAnsi="Calibri"/>
          <w:b/>
          <w:color w:val="525866"/>
          <w:sz w:val="22"/>
        </w:rPr>
        <w:t xml:space="preserve">Energy storage proliferating throughout data centers: </w:t>
      </w:r>
      <w:r>
        <w:rPr>
          <w:rFonts w:ascii="Calibri" w:hAnsi="Calibri"/>
          <w:color w:val="525866"/>
          <w:sz w:val="22"/>
        </w:rPr>
        <w:t>VRT highlighted energy storage expanding at UPS level, rack level, and upstream as BESS for grid participation. ETN’s grid-to-chip portfolio is well-positioned to capture this trend.</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Read-Through for ETN</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GE Vernova (GEV)</w:t>
            </w:r>
          </w:p>
        </w:tc>
        <w:tc>
          <w:tcPr>
            <w:tcW w:type="dxa" w:w="2160"/>
          </w:tcPr>
          <w:p>
            <w:r>
              <w:rPr>
                <w:rFonts w:ascii="Calibri" w:hAnsi="Calibri"/>
                <w:sz w:val="22"/>
              </w:rPr>
              <w:t>Jul 22, 2026</w:t>
            </w:r>
          </w:p>
        </w:tc>
        <w:tc>
          <w:tcPr>
            <w:tcW w:type="dxa" w:w="2160"/>
          </w:tcPr>
          <w:p>
            <w:r>
              <w:rPr>
                <w:rFonts w:ascii="Calibri" w:hAnsi="Calibri"/>
                <w:sz w:val="22"/>
              </w:rPr>
              <w:t>Data center orders &gt;$5B in H1 2026 (2x full-year 2025); electrification backlog +69% YoY; 800V DC SST prototype on track</w:t>
            </w:r>
          </w:p>
        </w:tc>
        <w:tc>
          <w:tcPr>
            <w:tcW w:type="dxa" w:w="2160"/>
          </w:tcPr>
          <w:p>
            <w:r>
              <w:rPr>
                <w:rFonts w:ascii="Calibri" w:hAnsi="Calibri"/>
                <w:b/>
                <w:color w:val="30A46C"/>
                <w:sz w:val="22"/>
              </w:rPr>
              <w:t>Strong Positive</w:t>
            </w:r>
          </w:p>
        </w:tc>
      </w:tr>
      <w:tr>
        <w:tc>
          <w:tcPr>
            <w:tcW w:type="dxa" w:w="2160"/>
          </w:tcPr>
          <w:p>
            <w:r>
              <w:rPr>
                <w:rFonts w:ascii="Calibri" w:hAnsi="Calibri"/>
                <w:sz w:val="22"/>
              </w:rPr>
              <w:t>Vertiv (VRT)</w:t>
            </w:r>
          </w:p>
        </w:tc>
        <w:tc>
          <w:tcPr>
            <w:tcW w:type="dxa" w:w="2160"/>
          </w:tcPr>
          <w:p>
            <w:r>
              <w:rPr>
                <w:rFonts w:ascii="Calibri" w:hAnsi="Calibri"/>
                <w:sz w:val="22"/>
              </w:rPr>
              <w:t>Jul 29, 2026</w:t>
            </w:r>
          </w:p>
        </w:tc>
        <w:tc>
          <w:tcPr>
            <w:tcW w:type="dxa" w:w="2160"/>
          </w:tcPr>
          <w:p>
            <w:r>
              <w:rPr>
                <w:rFonts w:ascii="Calibri" w:hAnsi="Calibri"/>
                <w:sz w:val="22"/>
              </w:rPr>
              <w:t>18% organic growth; pipeline accelerating; 800V DC validation in 2026, deployment 2027; FY guidance raised across all metrics</w:t>
            </w:r>
          </w:p>
        </w:tc>
        <w:tc>
          <w:tcPr>
            <w:tcW w:type="dxa" w:w="2160"/>
          </w:tcPr>
          <w:p>
            <w:r>
              <w:rPr>
                <w:rFonts w:ascii="Calibri" w:hAnsi="Calibri"/>
                <w:b/>
                <w:color w:val="30A46C"/>
                <w:sz w:val="22"/>
              </w:rPr>
              <w:t>Strong Positive</w:t>
            </w:r>
          </w:p>
        </w:tc>
      </w:tr>
      <w:tr>
        <w:tc>
          <w:tcPr>
            <w:tcW w:type="dxa" w:w="2160"/>
          </w:tcPr>
          <w:p>
            <w:r>
              <w:rPr>
                <w:rFonts w:ascii="Calibri" w:hAnsi="Calibri"/>
                <w:sz w:val="22"/>
              </w:rPr>
              <w:t>Hubbell (HUBB)</w:t>
            </w:r>
          </w:p>
        </w:tc>
        <w:tc>
          <w:tcPr>
            <w:tcW w:type="dxa" w:w="2160"/>
          </w:tcPr>
          <w:p>
            <w:r>
              <w:rPr>
                <w:rFonts w:ascii="Calibri" w:hAnsi="Calibri"/>
                <w:sz w:val="22"/>
              </w:rPr>
              <w:t>Jul 28, 2026</w:t>
            </w:r>
          </w:p>
        </w:tc>
        <w:tc>
          <w:tcPr>
            <w:tcW w:type="dxa" w:w="2160"/>
          </w:tcPr>
          <w:p>
            <w:r>
              <w:rPr>
                <w:rFonts w:ascii="Calibri" w:hAnsi="Calibri"/>
                <w:sz w:val="22"/>
              </w:rPr>
              <w:t>Data center sales +65%; utility T&amp;D book-to-bill 1.2x; margin pressure from input costs but H2 recovery expected; April price increase flowing through</w:t>
            </w:r>
          </w:p>
        </w:tc>
        <w:tc>
          <w:tcPr>
            <w:tcW w:type="dxa" w:w="2160"/>
          </w:tcPr>
          <w:p>
            <w:r>
              <w:rPr>
                <w:rFonts w:ascii="Calibri" w:hAnsi="Calibri"/>
                <w:b/>
                <w:color w:val="30A46C"/>
                <w:sz w:val="22"/>
              </w:rPr>
              <w:t>Positive / Margin Caution</w:t>
            </w:r>
          </w:p>
        </w:tc>
      </w:tr>
      <w:tr>
        <w:tc>
          <w:tcPr>
            <w:tcW w:type="dxa" w:w="2160"/>
          </w:tcPr>
          <w:p>
            <w:r>
              <w:rPr>
                <w:rFonts w:ascii="Calibri" w:hAnsi="Calibri"/>
                <w:sz w:val="22"/>
              </w:rPr>
              <w:t>Johnson Controls (JCI)</w:t>
            </w:r>
          </w:p>
        </w:tc>
        <w:tc>
          <w:tcPr>
            <w:tcW w:type="dxa" w:w="2160"/>
          </w:tcPr>
          <w:p>
            <w:r>
              <w:rPr>
                <w:rFonts w:ascii="Calibri" w:hAnsi="Calibri"/>
                <w:sz w:val="22"/>
              </w:rPr>
              <w:t>Jul 29, 2026</w:t>
            </w:r>
          </w:p>
        </w:tc>
        <w:tc>
          <w:tcPr>
            <w:tcW w:type="dxa" w:w="2160"/>
          </w:tcPr>
          <w:p>
            <w:r>
              <w:rPr>
                <w:rFonts w:ascii="Calibri" w:hAnsi="Calibri"/>
                <w:sz w:val="22"/>
              </w:rPr>
              <w:t>Orders +27%; Americas orders +37% led by data centers; record $21B backlog; data center to be 1/3 of revenue in 3–5 years</w:t>
            </w:r>
          </w:p>
        </w:tc>
        <w:tc>
          <w:tcPr>
            <w:tcW w:type="dxa" w:w="2160"/>
          </w:tcPr>
          <w:p>
            <w:r>
              <w:rPr>
                <w:rFonts w:ascii="Calibri" w:hAnsi="Calibri"/>
                <w:b/>
                <w:color w:val="30A46C"/>
                <w:sz w:val="22"/>
              </w:rPr>
              <w:t>Positive</w:t>
            </w:r>
          </w:p>
        </w:tc>
      </w:tr>
      <w:tr>
        <w:tc>
          <w:tcPr>
            <w:tcW w:type="dxa" w:w="2160"/>
          </w:tcPr>
          <w:p>
            <w:r>
              <w:rPr>
                <w:rFonts w:ascii="Calibri" w:hAnsi="Calibri"/>
                <w:sz w:val="22"/>
              </w:rPr>
              <w:t>Carrier (CARR)</w:t>
            </w:r>
          </w:p>
        </w:tc>
        <w:tc>
          <w:tcPr>
            <w:tcW w:type="dxa" w:w="2160"/>
          </w:tcPr>
          <w:p>
            <w:r>
              <w:rPr>
                <w:rFonts w:ascii="Calibri" w:hAnsi="Calibri"/>
                <w:sz w:val="22"/>
              </w:rPr>
              <w:t>Jul 28, 2026</w:t>
            </w:r>
          </w:p>
        </w:tc>
        <w:tc>
          <w:tcPr>
            <w:tcW w:type="dxa" w:w="2160"/>
          </w:tcPr>
          <w:p>
            <w:r>
              <w:rPr>
                <w:rFonts w:ascii="Calibri" w:hAnsi="Calibri"/>
                <w:sz w:val="22"/>
              </w:rPr>
              <w:t>Data center orders 4x YoY; backlog +40%; margin headwinds from mix/tariffs; aggressive capacity expansion validates ETN’s CapEx cycle</w:t>
            </w:r>
          </w:p>
        </w:tc>
        <w:tc>
          <w:tcPr>
            <w:tcW w:type="dxa" w:w="2160"/>
          </w:tcPr>
          <w:p>
            <w:r>
              <w:rPr>
                <w:rFonts w:ascii="Calibri" w:hAnsi="Calibri"/>
                <w:b/>
                <w:color w:val="30A46C"/>
                <w:sz w:val="22"/>
              </w:rPr>
              <w:t>Mixed</w:t>
            </w:r>
          </w:p>
        </w:tc>
      </w:tr>
      <w:tr>
        <w:tc>
          <w:tcPr>
            <w:tcW w:type="dxa" w:w="2160"/>
          </w:tcPr>
          <w:p>
            <w:r>
              <w:rPr>
                <w:rFonts w:ascii="Calibri" w:hAnsi="Calibri"/>
                <w:sz w:val="22"/>
              </w:rPr>
              <w:t>Honeywell (HON)</w:t>
            </w:r>
          </w:p>
        </w:tc>
        <w:tc>
          <w:tcPr>
            <w:tcW w:type="dxa" w:w="2160"/>
          </w:tcPr>
          <w:p>
            <w:r>
              <w:rPr>
                <w:rFonts w:ascii="Calibri" w:hAnsi="Calibri"/>
                <w:sz w:val="22"/>
              </w:rPr>
              <w:t>Jul 23, 2026</w:t>
            </w:r>
          </w:p>
        </w:tc>
        <w:tc>
          <w:tcPr>
            <w:tcW w:type="dxa" w:w="2160"/>
          </w:tcPr>
          <w:p>
            <w:r>
              <w:rPr>
                <w:rFonts w:ascii="Calibri" w:hAnsi="Calibri"/>
                <w:sz w:val="22"/>
              </w:rPr>
              <w:t>BA orders +13% with data center contribution; margin +100 bps; inflation “stubborn” in copper/electronics/labor; FY guidance raised</w:t>
            </w:r>
          </w:p>
        </w:tc>
        <w:tc>
          <w:tcPr>
            <w:tcW w:type="dxa" w:w="2160"/>
          </w:tcPr>
          <w:p>
            <w:r>
              <w:rPr>
                <w:rFonts w:ascii="Calibri" w:hAnsi="Calibri"/>
                <w:b/>
                <w:color w:val="30A46C"/>
                <w:sz w:val="22"/>
              </w:rPr>
              <w:t>Moderate Positive</w:t>
            </w:r>
          </w:p>
        </w:tc>
      </w:tr>
      <w:tr>
        <w:tc>
          <w:tcPr>
            <w:tcW w:type="dxa" w:w="2160"/>
          </w:tcPr>
          <w:p>
            <w:r>
              <w:rPr>
                <w:rFonts w:ascii="Calibri" w:hAnsi="Calibri"/>
                <w:sz w:val="22"/>
              </w:rPr>
              <w:t>Vertiv Investor Day (VRT)</w:t>
            </w:r>
          </w:p>
        </w:tc>
        <w:tc>
          <w:tcPr>
            <w:tcW w:type="dxa" w:w="2160"/>
          </w:tcPr>
          <w:p>
            <w:r>
              <w:rPr>
                <w:rFonts w:ascii="Calibri" w:hAnsi="Calibri"/>
                <w:sz w:val="22"/>
              </w:rPr>
              <w:t>May 20, 2026</w:t>
            </w:r>
          </w:p>
        </w:tc>
        <w:tc>
          <w:tcPr>
            <w:tcW w:type="dxa" w:w="2160"/>
          </w:tcPr>
          <w:p>
            <w:r>
              <w:rPr>
                <w:rFonts w:ascii="Calibri" w:hAnsi="Calibri"/>
                <w:sz w:val="22"/>
              </w:rPr>
              <w:t>800V DC commercialization early 2027; rack density approaching 300kW+; energy storage proliferating throughout data centers</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wave of peer earnings confirming accelerating data center demand</w:t>
      </w:r>
      <w:r>
        <w:rPr>
          <w:rFonts w:ascii="Calibri" w:hAnsi="Calibri"/>
          <w:color w:val="525866"/>
          <w:sz w:val="22"/>
        </w:rPr>
        <w:t xml:space="preserve"> — GEV, VRT, HUBB, JCI, and CARR all reported record orders and raised guidance, directly validating ETN’s demand thesis heading into Q2. The secondary risk is the pre-earnings stock selloff (-6.3% in two days before July 30 recovery), which may reflect broader market de-risking rather than ETN-specific concerns.</w:t>
      </w:r>
    </w:p>
    <w:p>
      <w:pPr>
        <w:pStyle w:val="ListBullet"/>
        <w:ind w:left="360" w:hanging="360"/>
      </w:pPr>
      <w:r>
        <w:rPr>
          <w:rFonts w:ascii="Calibri" w:hAnsi="Calibri"/>
          <w:b/>
          <w:color w:val="525866"/>
          <w:sz w:val="22"/>
        </w:rPr>
        <w:t xml:space="preserve">July 29–30, 2026 — Pre-Earnings Stock Selloff and Recovery: </w:t>
      </w:r>
      <w:r>
        <w:rPr>
          <w:rFonts w:ascii="Calibri" w:hAnsi="Calibri"/>
          <w:color w:val="525866"/>
          <w:sz w:val="22"/>
        </w:rPr>
        <w:t xml:space="preserve">ETN fell sharply to $361.88 on July 29 (-6.3% in two sessions) before recovering to $386.89 on July 30. The selloff appears to reflect broader market weakness (SPY -1.5% on July 29) and pre-earnings de-risking rather than ETN-specific news. The recovery on July 30 suggests buyers are stepping in ahead of the print. </w:t>
      </w:r>
    </w:p>
    <w:p>
      <w:pPr>
        <w:pStyle w:val="ListBullet"/>
        <w:ind w:left="360" w:hanging="360"/>
      </w:pPr>
      <w:r>
        <w:rPr>
          <w:rFonts w:ascii="Calibri" w:hAnsi="Calibri"/>
          <w:b/>
          <w:color w:val="525866"/>
          <w:sz w:val="22"/>
        </w:rPr>
        <w:t xml:space="preserve">July 29, 2026 — Vertiv (VRT) Q2 2026 Earnings Beat and Guidance Raise: </w:t>
      </w:r>
      <w:r>
        <w:rPr>
          <w:rFonts w:ascii="Calibri" w:hAnsi="Calibri"/>
          <w:i/>
          <w:color w:val="525866"/>
          <w:sz w:val="22"/>
        </w:rPr>
        <w:t xml:space="preserve">VRT reported Q2 organic growth of 18%, adjusted operating margin of 22.6% (+410 bps YoY), and raised FY2026 EPS guidance to $6.70 (mid). Pipeline described as “actually accelerating.” </w:t>
      </w:r>
      <w:r>
        <w:rPr>
          <w:rFonts w:ascii="Calibri" w:hAnsi="Calibri"/>
          <w:b/>
          <w:color w:val="525866"/>
          <w:sz w:val="22"/>
        </w:rPr>
        <w:t xml:space="preserve">Implication: </w:t>
      </w:r>
      <w:r>
        <w:rPr>
          <w:rFonts w:ascii="Calibri" w:hAnsi="Calibri"/>
          <w:color w:val="525866"/>
          <w:sz w:val="22"/>
        </w:rPr>
        <w:t>Strongest positive read-through for ETN’s data center revenue and margin recovery narrative.</w:t>
      </w:r>
    </w:p>
    <w:p>
      <w:pPr>
        <w:pStyle w:val="ListBullet"/>
        <w:ind w:left="360" w:hanging="360"/>
      </w:pPr>
      <w:r>
        <w:rPr>
          <w:rFonts w:ascii="Calibri" w:hAnsi="Calibri"/>
          <w:b/>
          <w:color w:val="525866"/>
          <w:sz w:val="22"/>
        </w:rPr>
        <w:t xml:space="preserve">July 28, 2026 — Hubbell (HUBB) Q2 2026 Earnings: </w:t>
      </w:r>
      <w:r>
        <w:rPr>
          <w:rFonts w:ascii="Calibri" w:hAnsi="Calibri"/>
          <w:i/>
          <w:color w:val="525866"/>
          <w:sz w:val="22"/>
        </w:rPr>
        <w:t xml:space="preserve">HUBB reported data center sales +65%, utility T&amp;D book-to-bill of 1.2x, and raised FY2026 organic growth to +9–11%. Electrical Solutions margins down 130 bps YoY but expected to recover in H2. </w:t>
      </w:r>
      <w:r>
        <w:rPr>
          <w:rFonts w:ascii="Calibri" w:hAnsi="Calibri"/>
          <w:b/>
          <w:color w:val="525866"/>
          <w:sz w:val="22"/>
        </w:rPr>
        <w:t xml:space="preserve">Implication: </w:t>
      </w:r>
      <w:r>
        <w:rPr>
          <w:rFonts w:ascii="Calibri" w:hAnsi="Calibri"/>
          <w:color w:val="525866"/>
          <w:sz w:val="22"/>
        </w:rPr>
        <w:t>Validates ETN’s demand environment but confirms margin recovery is a H2 story, consistent with ETN’s own guidance.</w:t>
      </w:r>
    </w:p>
    <w:p>
      <w:pPr>
        <w:pStyle w:val="ListBullet"/>
        <w:ind w:left="360" w:hanging="360"/>
      </w:pPr>
      <w:r>
        <w:rPr>
          <w:rFonts w:ascii="Calibri" w:hAnsi="Calibri"/>
          <w:b/>
          <w:color w:val="525866"/>
          <w:sz w:val="22"/>
        </w:rPr>
        <w:t xml:space="preserve">July 28, 2026 — Carrier (CARR) Q2 2026 Earnings: </w:t>
      </w:r>
      <w:r>
        <w:rPr>
          <w:rFonts w:ascii="Calibri" w:hAnsi="Calibri"/>
          <w:i/>
          <w:color w:val="525866"/>
          <w:sz w:val="22"/>
        </w:rPr>
        <w:t xml:space="preserve">CARR reported data center orders up 4x YoY, raised FY2026 data center revenue to ~$2B, and announced a new U.S. manufacturing facility. Segment margins described as “disappointing” due to mix and tariff headwinds. </w:t>
      </w:r>
      <w:r>
        <w:rPr>
          <w:rFonts w:ascii="Calibri" w:hAnsi="Calibri"/>
          <w:b/>
          <w:color w:val="525866"/>
          <w:sz w:val="22"/>
        </w:rPr>
        <w:t xml:space="preserve">Implication: </w:t>
      </w:r>
      <w:r>
        <w:rPr>
          <w:rFonts w:ascii="Calibri" w:hAnsi="Calibri"/>
          <w:color w:val="525866"/>
          <w:sz w:val="22"/>
        </w:rPr>
        <w:t>Positive demand read-through; margin caution is a mild negative signal for ETN’s own margin recovery.</w:t>
      </w:r>
    </w:p>
    <w:p>
      <w:pPr>
        <w:pStyle w:val="ListBullet"/>
        <w:ind w:left="360" w:hanging="360"/>
      </w:pPr>
      <w:r>
        <w:rPr>
          <w:rFonts w:ascii="Calibri" w:hAnsi="Calibri"/>
          <w:b/>
          <w:color w:val="525866"/>
          <w:sz w:val="22"/>
        </w:rPr>
        <w:t xml:space="preserve">July 23, 2026 — Honeywell (HON) Q2 2026 Earnings: </w:t>
      </w:r>
      <w:r>
        <w:rPr>
          <w:rFonts w:ascii="Calibri" w:hAnsi="Calibri"/>
          <w:i/>
          <w:color w:val="525866"/>
          <w:sz w:val="22"/>
        </w:rPr>
        <w:t xml:space="preserve">HON reported 4% organic growth, raised FY2026 guidance, and flagged “stubborn” inflation in electronics, copper, and labor. Segment margin expanded 100 bps. </w:t>
      </w:r>
      <w:r>
        <w:rPr>
          <w:rFonts w:ascii="Calibri" w:hAnsi="Calibri"/>
          <w:b/>
          <w:color w:val="525866"/>
          <w:sz w:val="22"/>
        </w:rPr>
        <w:t xml:space="preserve">Implication: </w:t>
      </w:r>
      <w:r>
        <w:rPr>
          <w:rFonts w:ascii="Calibri" w:hAnsi="Calibri"/>
          <w:color w:val="525866"/>
          <w:sz w:val="22"/>
        </w:rPr>
        <w:t>Validates ETN’s input cost environment; HON’s ability to expand margins despite inflation is a positive signal for ETN’s own pricing actions.</w:t>
      </w:r>
    </w:p>
    <w:p>
      <w:pPr>
        <w:pStyle w:val="ListBullet"/>
        <w:ind w:left="360" w:hanging="360"/>
      </w:pPr>
      <w:r>
        <w:rPr>
          <w:rFonts w:ascii="Calibri" w:hAnsi="Calibri"/>
          <w:b/>
          <w:color w:val="525866"/>
          <w:sz w:val="22"/>
        </w:rPr>
        <w:t xml:space="preserve">July 22, 2026 — GE Vernova (GEV) Q2 2026 Earnings: </w:t>
      </w:r>
      <w:r>
        <w:rPr>
          <w:rFonts w:ascii="Calibri" w:hAnsi="Calibri"/>
          <w:i/>
          <w:color w:val="525866"/>
          <w:sz w:val="22"/>
        </w:rPr>
        <w:t xml:space="preserve">GEV booked $2.7B of data center orders in electrification in Q2 alone (H1 total &gt;$5B, 2x full-year 2025). Electrification backlog above $40B (+69% YoY). Raised FY2026 revenue guidance by $1B. </w:t>
      </w:r>
      <w:r>
        <w:rPr>
          <w:rFonts w:ascii="Calibri" w:hAnsi="Calibri"/>
          <w:b/>
          <w:color w:val="525866"/>
          <w:sz w:val="22"/>
        </w:rPr>
        <w:t xml:space="preserve">Implication: </w:t>
      </w:r>
      <w:r>
        <w:rPr>
          <w:rFonts w:ascii="Calibri" w:hAnsi="Calibri"/>
          <w:color w:val="525866"/>
          <w:sz w:val="22"/>
        </w:rPr>
        <w:t>Strongest demand validation for ETN’s electrical infrastructure thesis; GEV’s results suggest ETN’s own data center orders and backlog metrics should remain at record levels.</w:t>
      </w:r>
    </w:p>
    <w:p>
      <w:pPr>
        <w:pStyle w:val="ListBullet"/>
        <w:ind w:left="360" w:hanging="360"/>
      </w:pPr>
      <w:r>
        <w:rPr>
          <w:rFonts w:ascii="Calibri" w:hAnsi="Calibri"/>
          <w:b/>
          <w:color w:val="525866"/>
          <w:sz w:val="22"/>
        </w:rPr>
        <w:t xml:space="preserve">July 13, 2026 — ETN Announces Q2 2026 Earnings Date: </w:t>
      </w:r>
      <w:r>
        <w:rPr>
          <w:rFonts w:ascii="Calibri" w:hAnsi="Calibri"/>
          <w:i/>
          <w:color w:val="525866"/>
          <w:sz w:val="22"/>
        </w:rPr>
        <w:t xml:space="preserve">Eaton confirmed Q2 2026 earnings will be reported on July 31, 2026. No pre-announcement or guidance update was issued alongside the announcement. </w:t>
      </w:r>
      <w:r>
        <w:rPr>
          <w:rFonts w:ascii="Calibri" w:hAnsi="Calibri"/>
          <w:b/>
          <w:color w:val="525866"/>
          <w:sz w:val="22"/>
        </w:rPr>
        <w:t xml:space="preserve">Implication: </w:t>
      </w:r>
      <w:r>
        <w:rPr>
          <w:rFonts w:ascii="Calibri" w:hAnsi="Calibri"/>
          <w:color w:val="525866"/>
          <w:sz w:val="22"/>
        </w:rPr>
        <w:t>Absence of a pre-announcement is a mild positive signal — management did not feel the need to warn on results.</w:t>
      </w:r>
    </w:p>
    <w:p>
      <w:pPr>
        <w:pStyle w:val="ListBullet"/>
        <w:ind w:left="360" w:hanging="360"/>
      </w:pPr>
      <w:r>
        <w:rPr>
          <w:rFonts w:ascii="Calibri" w:hAnsi="Calibri"/>
          <w:b/>
          <w:color w:val="525866"/>
          <w:sz w:val="22"/>
        </w:rPr>
        <w:t xml:space="preserve">July 29, 2026 — Johnson Controls (JCI) Q3 FY2026 Earnings: </w:t>
      </w:r>
      <w:r>
        <w:rPr>
          <w:rFonts w:ascii="Calibri" w:hAnsi="Calibri"/>
          <w:i/>
          <w:color w:val="525866"/>
          <w:sz w:val="22"/>
        </w:rPr>
        <w:t xml:space="preserve">JCI reported organic sales +10%, orders +27%, record backlog of $21B, and raised FY2026 EPS guidance to ~$5.05 (+35% YoY). Data center revenue expected to be high-teens % of FY2026 revenue. </w:t>
      </w:r>
      <w:r>
        <w:rPr>
          <w:rFonts w:ascii="Calibri" w:hAnsi="Calibri"/>
          <w:b/>
          <w:color w:val="525866"/>
          <w:sz w:val="22"/>
        </w:rPr>
        <w:t xml:space="preserve">Implication: </w:t>
      </w:r>
      <w:r>
        <w:rPr>
          <w:rFonts w:ascii="Calibri" w:hAnsi="Calibri"/>
          <w:color w:val="525866"/>
          <w:sz w:val="22"/>
        </w:rPr>
        <w:t>Validates the multi-year data center demand cycle and ETN’s long-term margin expansion targets.</w:t>
      </w:r>
    </w:p>
    <w:p>
      <w:pPr>
        <w:pStyle w:val="ListBullet"/>
        <w:ind w:left="360" w:hanging="360"/>
      </w:pPr>
      <w:r>
        <w:rPr>
          <w:rFonts w:ascii="Calibri" w:hAnsi="Calibri"/>
          <w:b/>
          <w:color w:val="525866"/>
          <w:sz w:val="22"/>
        </w:rPr>
        <w:t xml:space="preserve">May 5, 2026 — ETN Q1 2026 Earnings (Baseline): </w:t>
      </w:r>
      <w:r>
        <w:rPr>
          <w:rFonts w:ascii="Calibri" w:hAnsi="Calibri"/>
          <w:i/>
          <w:color w:val="525866"/>
          <w:sz w:val="22"/>
        </w:rPr>
        <w:t xml:space="preserve">ETN reported record Q1 results with revenue of $7.45B (+16% YoY, +4.3% vs. consensus), adjusted EPS of $2.81 (+2.2% vs. consensus). Raised FY2026 organic growth guidance to 10% midpoint. Electrical Americas margins of 25.6% missed expectations due to higher input costs and accelerated ramp spending. Boyd Thermal integration off to a strong start (revenue up &gt;100% YoY). </w:t>
      </w:r>
      <w:r>
        <w:rPr>
          <w:rFonts w:ascii="Calibri" w:hAnsi="Calibri"/>
          <w:b/>
          <w:color w:val="525866"/>
          <w:sz w:val="22"/>
        </w:rPr>
        <w:t xml:space="preserve">Implication: </w:t>
      </w:r>
      <w:r>
        <w:rPr>
          <w:rFonts w:ascii="Calibri" w:hAnsi="Calibri"/>
          <w:color w:val="525866"/>
          <w:sz w:val="22"/>
        </w:rPr>
        <w:t>Sets the baseline for Q2 — the margin recovery trajectory is the key debate.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