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Eaton Corporation (ETN)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Eaton Corporation plc</w:t>
            </w:r>
          </w:p>
        </w:tc>
      </w:tr>
      <w:tr>
        <w:tc>
          <w:tcPr>
            <w:tcW w:type="dxa" w:w="4320"/>
          </w:tcPr>
          <w:p>
            <w:r>
              <w:rPr>
                <w:rFonts w:ascii="Calibri" w:hAnsi="Calibri"/>
                <w:b/>
                <w:sz w:val="22"/>
              </w:rPr>
              <w:t>Ticker</w:t>
            </w:r>
          </w:p>
        </w:tc>
        <w:tc>
          <w:tcPr>
            <w:tcW w:type="dxa" w:w="4320"/>
          </w:tcPr>
          <w:p>
            <w:r>
              <w:rPr>
                <w:rFonts w:ascii="Calibri" w:hAnsi="Calibri"/>
                <w:sz w:val="22"/>
              </w:rPr>
              <w:t>ETN (NYSE)</w:t>
            </w:r>
          </w:p>
        </w:tc>
      </w:tr>
      <w:tr>
        <w:tc>
          <w:tcPr>
            <w:tcW w:type="dxa" w:w="4320"/>
          </w:tcPr>
          <w:p>
            <w:r>
              <w:rPr>
                <w:rFonts w:ascii="Calibri" w:hAnsi="Calibri"/>
                <w:b/>
                <w:sz w:val="22"/>
              </w:rPr>
              <w:t>Earnings Date</w:t>
            </w:r>
          </w:p>
        </w:tc>
        <w:tc>
          <w:tcPr>
            <w:tcW w:type="dxa" w:w="4320"/>
          </w:tcPr>
          <w:p>
            <w:r>
              <w:rPr>
                <w:rFonts w:ascii="Calibri" w:hAnsi="Calibri"/>
                <w:sz w:val="22"/>
              </w:rPr>
              <w:t>July 31, 2026 — 11:00 AM ET</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Prepared</w:t>
            </w:r>
          </w:p>
        </w:tc>
        <w:tc>
          <w:tcPr>
            <w:tcW w:type="dxa" w:w="4320"/>
          </w:tcPr>
          <w:p>
            <w:r>
              <w:rPr>
                <w:rFonts w:ascii="Calibri" w:hAnsi="Calibri"/>
                <w:sz w:val="22"/>
              </w:rPr>
              <w:t>July 30, 2026</w:t>
            </w:r>
          </w:p>
        </w:tc>
      </w:tr>
      <w:tr>
        <w:tc>
          <w:tcPr>
            <w:tcW w:type="dxa" w:w="4320"/>
          </w:tcPr>
          <w:p>
            <w:r>
              <w:rPr>
                <w:rFonts w:ascii="Calibri" w:hAnsi="Calibri"/>
                <w:b/>
                <w:sz w:val="22"/>
              </w:rPr>
              <w:t>Sector / ETF Benchmark</w:t>
            </w:r>
          </w:p>
        </w:tc>
        <w:tc>
          <w:tcPr>
            <w:tcW w:type="dxa" w:w="4320"/>
          </w:tcPr>
          <w:p>
            <w:r>
              <w:rPr>
                <w:rFonts w:ascii="Calibri" w:hAnsi="Calibri"/>
                <w:sz w:val="22"/>
              </w:rPr>
              <w:t>Industrials / XLI (SPDR S&amp;P 500 Industrials ETF)</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leans toward a beat on revenue given record backlog and accelerating data center demand, but the key swing factor is whether Electrical Americas margins recover the guided 150 bps sequentially from Q1’s 25.6% trough — a miss there would reprice the stock lower despite top-line strength.</w:t>
      </w:r>
    </w:p>
    <w:p>
      <w:r>
        <w:rPr>
          <w:rFonts w:ascii="Calibri" w:hAnsi="Calibri"/>
          <w:color w:val="525866"/>
          <w:sz w:val="22"/>
        </w:rPr>
        <w:t xml:space="preserve">Heading into Q2 2026, the bar for ETN is elevated on revenue but more nuanced on margins. Consensus expects adjusted EPS of ~$3.08 and revenue of ~$8.18B, implying roughly 10% organic growth at the midpoint of management’s own Q2 guide — a bar that the record $22.8B backlog (up 48% YoY as of Q1) and accelerating data center orders (up 240% in Q1) make achievable. </w:t>
      </w:r>
      <w:r>
        <w:rPr>
          <w:rFonts w:ascii="Calibri" w:hAnsi="Calibri"/>
          <w:b/>
          <w:color w:val="525866"/>
          <w:sz w:val="22"/>
        </w:rPr>
        <w:t>Management’s tone on the Q1 call was unambiguously bullish</w:t>
      </w:r>
      <w:r>
        <w:rPr>
          <w:rFonts w:ascii="Calibri" w:hAnsi="Calibri"/>
          <w:color w:val="525866"/>
          <w:sz w:val="22"/>
        </w:rPr>
        <w:t xml:space="preserve"> — CEO Paulo Ruiz described the company as on the “precipice of a new growth cycle” and CFO Dave Foster stated he has “never seen this level of organic growth” in his nearly 30-year career — and the April 1 price increase plus sequential capacity ramp should support the guided 150 bps margin recovery in Electrical Americas. Estimate revisions have drifted modestly lower since the Q1 print (Q2 EPS consensus slipped from ~$3.08 to ~$3.08, essentially flat, while FY2026 EPS consensus sits at ~$13.35, near the guidance midpoint of $13.28), suggesting the Street has largely absorbed the Q1 margin miss without further downward pressure. </w:t>
      </w:r>
      <w:r>
        <w:rPr>
          <w:rFonts w:ascii="Calibri" w:hAnsi="Calibri"/>
          <w:b/>
          <w:color w:val="525866"/>
          <w:sz w:val="22"/>
        </w:rPr>
        <w:t>The stock is down ~6% since the Q1 print (May 5 close: $410.86 vs. ~$387 today)</w:t>
      </w:r>
      <w:r>
        <w:rPr>
          <w:rFonts w:ascii="Calibri" w:hAnsi="Calibri"/>
          <w:color w:val="525866"/>
          <w:sz w:val="22"/>
        </w:rPr>
        <w:t>, underperforming XLI (+3.5%) and SPY (+2.5%), meaning the stock has not priced in a beat — a clean margin recovery could be a meaningful re-rating catalyst. The key wildcard is whether the Boyd Thermal integration is tracking to the guided $400M/quarter Q2 run rate and whether management raises the full-year organic growth guide again, which would be the clearest signal of accelerating demand beyond what is already in backlog.</w:t>
      </w:r>
    </w:p>
    <w:p>
      <w:r>
        <w:rPr>
          <w:rFonts w:ascii="Calibri" w:hAnsi="Calibri"/>
          <w:b/>
          <w:color w:val="525866"/>
          <w:sz w:val="22"/>
        </w:rPr>
        <w:t xml:space="preserve">Bar: </w:t>
      </w:r>
      <w:r>
        <w:rPr>
          <w:rFonts w:ascii="Calibri" w:hAnsi="Calibri"/>
          <w:color w:val="525866"/>
          <w:sz w:val="22"/>
        </w:rPr>
        <w:t>Consensus revenue of $8.18B implies ~10% organic growth, consistent with the low end of management’s Q2 guide (9–11%); the bar is achievable but not low given the Q1 revenue beat was driven by pull-forward capacity. Adjusted EPS consensus of ~$3.08 sits at the midpoint of the $3.00–$3.10 guide.</w:t>
      </w:r>
    </w:p>
    <w:p>
      <w:r>
        <w:rPr>
          <w:rFonts w:ascii="Calibri" w:hAnsi="Calibri"/>
          <w:b/>
          <w:color w:val="525866"/>
          <w:sz w:val="22"/>
        </w:rPr>
        <w:t xml:space="preserve">Guidance/Tone: </w:t>
      </w:r>
      <w:r>
        <w:rPr>
          <w:rFonts w:ascii="Calibri" w:hAnsi="Calibri"/>
          <w:color w:val="525866"/>
          <w:sz w:val="22"/>
        </w:rPr>
        <w:t>Management raised organic growth guidance by 200 bps to 9–11% at the Q1 print while lowering segment margin guidance by 50 bps to 24.1–24.5% for FY2026. No post-Q1 guidance revision has been issued, so the baseline is unchanged. Tone remains highly confident.</w:t>
      </w:r>
    </w:p>
    <w:p>
      <w:r>
        <w:rPr>
          <w:rFonts w:ascii="Calibri" w:hAnsi="Calibri"/>
          <w:b/>
          <w:color w:val="525866"/>
          <w:sz w:val="22"/>
        </w:rPr>
        <w:t xml:space="preserve">Estimate Trajectory: </w:t>
      </w:r>
      <w:r>
        <w:rPr>
          <w:rFonts w:ascii="Calibri" w:hAnsi="Calibri"/>
          <w:color w:val="525866"/>
          <w:sz w:val="22"/>
        </w:rPr>
        <w:t>Q2 EPS estimates have been essentially flat since the Q1 print (~$3.08 now vs. ~$3.08 post-Q1), while FY2026 EPS consensus of ~$13.35 sits just above the guidance midpoint of $13.28 — a modest cushion. Revisions are not diverging from guidance, suggesting the Street is tracking management’s framework.</w:t>
      </w:r>
    </w:p>
    <w:p>
      <w:r>
        <w:rPr>
          <w:rFonts w:ascii="Calibri" w:hAnsi="Calibri"/>
          <w:b/>
          <w:color w:val="525866"/>
          <w:sz w:val="22"/>
        </w:rPr>
        <w:t xml:space="preserve">Stock Setup: </w:t>
      </w:r>
      <w:r>
        <w:rPr>
          <w:rFonts w:ascii="Calibri" w:hAnsi="Calibri"/>
          <w:color w:val="525866"/>
          <w:sz w:val="22"/>
        </w:rPr>
        <w:t>ETN trades at ~27x NTM P/E and ~20x NTM EV/EBITDA, both below the 3-month-ago levels (31.8x and 22.5x respectively), reflecting multiple compression since the Q1 print. The stock has underperformed XLI by ~10% over the past month, creating a setup where a clean beat-and-raise could close the gap.</w:t>
      </w:r>
    </w:p>
    <w:p>
      <w:r>
        <w:rPr>
          <w:rFonts w:ascii="Calibri" w:hAnsi="Calibri"/>
          <w:b/>
          <w:color w:val="525866"/>
          <w:sz w:val="22"/>
        </w:rPr>
        <w:t xml:space="preserve">Wildcard: </w:t>
      </w:r>
      <w:r>
        <w:rPr>
          <w:rFonts w:ascii="Calibri" w:hAnsi="Calibri"/>
          <w:color w:val="525866"/>
          <w:sz w:val="22"/>
        </w:rPr>
        <w:t>The single biggest surprise factor is the Electrical Americas margin trajectory. Q1 came in at 25.6% vs. the ~27% consensus expectation; management guided Q2 to recover 150 bps sequentially to ~27.1%. If April/May pricing actions and capacity utilization improvements are tracking ahead of plan, a margin upside surprise could drive a meaningful re-rating. Conversely, a second consecutive margin miss would likely reset the stock lower regardless of revenue strength.</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sets a high bar on revenue (~$8.18B, +10% organic) but a more achievable bar on margins given the Q1 trough; the bigger swing factor is Electrical Americas operating margin, where a 150 bps sequential recovery is guided but not yet proven.</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 (Mgmt)</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Adjusted EPS (Diluted)</w:t>
            </w:r>
          </w:p>
        </w:tc>
        <w:tc>
          <w:tcPr>
            <w:tcW w:type="dxa" w:w="1234"/>
          </w:tcPr>
          <w:p>
            <w:r>
              <w:rPr>
                <w:rFonts w:ascii="Calibri" w:hAnsi="Calibri"/>
                <w:sz w:val="22"/>
              </w:rPr>
              <w:t>$2.81</w:t>
            </w:r>
          </w:p>
        </w:tc>
        <w:tc>
          <w:tcPr>
            <w:tcW w:type="dxa" w:w="1234"/>
          </w:tcPr>
          <w:p>
            <w:r>
              <w:rPr>
                <w:rFonts w:ascii="Calibri" w:hAnsi="Calibri"/>
                <w:sz w:val="22"/>
              </w:rPr>
              <w:t>$2.95</w:t>
            </w:r>
          </w:p>
        </w:tc>
        <w:tc>
          <w:tcPr>
            <w:tcW w:type="dxa" w:w="1234"/>
          </w:tcPr>
          <w:p>
            <w:r>
              <w:rPr>
                <w:rFonts w:ascii="Calibri" w:hAnsi="Calibri"/>
                <w:sz w:val="22"/>
              </w:rPr>
              <w:t>$3.08</w:t>
            </w:r>
          </w:p>
        </w:tc>
        <w:tc>
          <w:tcPr>
            <w:tcW w:type="dxa" w:w="1234"/>
          </w:tcPr>
          <w:p>
            <w:r>
              <w:rPr>
                <w:rFonts w:ascii="Calibri" w:hAnsi="Calibri"/>
                <w:sz w:val="22"/>
              </w:rPr>
              <w:t>+4.4%</w:t>
            </w:r>
          </w:p>
        </w:tc>
        <w:tc>
          <w:tcPr>
            <w:tcW w:type="dxa" w:w="1234"/>
          </w:tcPr>
          <w:p>
            <w:r>
              <w:rPr>
                <w:rFonts w:ascii="Calibri" w:hAnsi="Calibri"/>
                <w:sz w:val="22"/>
              </w:rPr>
              <w:t>$3.00–$3.10 ($3.05 mid)</w:t>
            </w:r>
          </w:p>
        </w:tc>
        <w:tc>
          <w:tcPr>
            <w:tcW w:type="dxa" w:w="1234"/>
          </w:tcPr>
          <w:p>
            <w:r>
              <w:rPr>
                <w:rFonts w:ascii="Calibri" w:hAnsi="Calibri"/>
                <w:sz w:val="22"/>
              </w:rPr>
              <w:t>+0.9%</w:t>
            </w:r>
          </w:p>
        </w:tc>
      </w:tr>
      <w:tr>
        <w:tc>
          <w:tcPr>
            <w:tcW w:type="dxa" w:w="1234"/>
          </w:tcPr>
          <w:p>
            <w:r>
              <w:rPr>
                <w:rFonts w:ascii="Calibri" w:hAnsi="Calibri"/>
                <w:sz w:val="22"/>
              </w:rPr>
              <w:t>Net Sales (Total)</w:t>
            </w:r>
          </w:p>
        </w:tc>
        <w:tc>
          <w:tcPr>
            <w:tcW w:type="dxa" w:w="1234"/>
          </w:tcPr>
          <w:p>
            <w:r>
              <w:rPr>
                <w:rFonts w:ascii="Calibri" w:hAnsi="Calibri"/>
                <w:sz w:val="22"/>
              </w:rPr>
              <w:t>$7.45B</w:t>
            </w:r>
          </w:p>
        </w:tc>
        <w:tc>
          <w:tcPr>
            <w:tcW w:type="dxa" w:w="1234"/>
          </w:tcPr>
          <w:p>
            <w:r>
              <w:rPr>
                <w:rFonts w:ascii="Calibri" w:hAnsi="Calibri"/>
                <w:sz w:val="22"/>
              </w:rPr>
              <w:t>$7.03B</w:t>
            </w:r>
          </w:p>
        </w:tc>
        <w:tc>
          <w:tcPr>
            <w:tcW w:type="dxa" w:w="1234"/>
          </w:tcPr>
          <w:p>
            <w:r>
              <w:rPr>
                <w:rFonts w:ascii="Calibri" w:hAnsi="Calibri"/>
                <w:sz w:val="22"/>
              </w:rPr>
              <w:t>$8.18B</w:t>
            </w:r>
          </w:p>
        </w:tc>
        <w:tc>
          <w:tcPr>
            <w:tcW w:type="dxa" w:w="1234"/>
          </w:tcPr>
          <w:p>
            <w:r>
              <w:rPr>
                <w:rFonts w:ascii="Calibri" w:hAnsi="Calibri"/>
                <w:sz w:val="22"/>
              </w:rPr>
              <w:t>+16.4%</w:t>
            </w:r>
          </w:p>
        </w:tc>
        <w:tc>
          <w:tcPr>
            <w:tcW w:type="dxa" w:w="1234"/>
          </w:tcPr>
          <w:p>
            <w:r>
              <w:rPr>
                <w:rFonts w:ascii="Calibri" w:hAnsi="Calibri"/>
                <w:sz w:val="22"/>
              </w:rPr>
              <w:t>Organic growth 9–11%</w:t>
            </w:r>
          </w:p>
        </w:tc>
        <w:tc>
          <w:tcPr>
            <w:tcW w:type="dxa" w:w="1234"/>
          </w:tcPr>
          <w:p>
            <w:r>
              <w:rPr>
                <w:rFonts w:ascii="Calibri" w:hAnsi="Calibri"/>
                <w:sz w:val="22"/>
              </w:rPr>
              <w:t>N/A (organic guide)</w:t>
            </w:r>
          </w:p>
        </w:tc>
      </w:tr>
      <w:tr>
        <w:tc>
          <w:tcPr>
            <w:tcW w:type="dxa" w:w="1234"/>
          </w:tcPr>
          <w:p>
            <w:r>
              <w:rPr>
                <w:rFonts w:ascii="Calibri" w:hAnsi="Calibri"/>
                <w:sz w:val="22"/>
              </w:rPr>
              <w:t>Net Sales — Electrical Americas</w:t>
            </w:r>
          </w:p>
        </w:tc>
        <w:tc>
          <w:tcPr>
            <w:tcW w:type="dxa" w:w="1234"/>
          </w:tcPr>
          <w:p>
            <w:r>
              <w:rPr>
                <w:rFonts w:ascii="Calibri" w:hAnsi="Calibri"/>
                <w:sz w:val="22"/>
              </w:rPr>
              <w:t>$3.60B</w:t>
            </w:r>
          </w:p>
        </w:tc>
        <w:tc>
          <w:tcPr>
            <w:tcW w:type="dxa" w:w="1234"/>
          </w:tcPr>
          <w:p>
            <w:r>
              <w:rPr>
                <w:rFonts w:ascii="Calibri" w:hAnsi="Calibri"/>
                <w:sz w:val="22"/>
              </w:rPr>
              <w:t>$3.35B</w:t>
            </w:r>
          </w:p>
        </w:tc>
        <w:tc>
          <w:tcPr>
            <w:tcW w:type="dxa" w:w="1234"/>
          </w:tcPr>
          <w:p>
            <w:r>
              <w:rPr>
                <w:rFonts w:ascii="Calibri" w:hAnsi="Calibri"/>
                <w:sz w:val="22"/>
              </w:rPr>
              <w:t>$3.82B</w:t>
            </w:r>
          </w:p>
        </w:tc>
        <w:tc>
          <w:tcPr>
            <w:tcW w:type="dxa" w:w="1234"/>
          </w:tcPr>
          <w:p>
            <w:r>
              <w:rPr>
                <w:rFonts w:ascii="Calibri" w:hAnsi="Calibri"/>
                <w:sz w:val="22"/>
              </w:rPr>
              <w:t>+14.0%</w:t>
            </w:r>
          </w:p>
        </w:tc>
        <w:tc>
          <w:tcPr>
            <w:tcW w:type="dxa" w:w="1234"/>
          </w:tcPr>
          <w:p>
            <w:r>
              <w:rPr>
                <w:rFonts w:ascii="Calibri" w:hAnsi="Calibri"/>
                <w:sz w:val="22"/>
              </w:rPr>
              <w:t>Organic growth +300 bps vs. prior guide</w:t>
            </w:r>
          </w:p>
        </w:tc>
        <w:tc>
          <w:tcPr>
            <w:tcW w:type="dxa" w:w="1234"/>
          </w:tcPr>
          <w:p>
            <w:r>
              <w:rPr>
                <w:rFonts w:ascii="Calibri" w:hAnsi="Calibri"/>
                <w:sz w:val="22"/>
              </w:rPr>
              <w:t>N/A (organic guide)</w:t>
            </w:r>
          </w:p>
        </w:tc>
      </w:tr>
      <w:tr>
        <w:tc>
          <w:tcPr>
            <w:tcW w:type="dxa" w:w="1234"/>
          </w:tcPr>
          <w:p>
            <w:r>
              <w:rPr>
                <w:rFonts w:ascii="Calibri" w:hAnsi="Calibri"/>
                <w:sz w:val="22"/>
              </w:rPr>
              <w:t>Electrical Americas Op. Margin (Adj.)</w:t>
            </w:r>
          </w:p>
        </w:tc>
        <w:tc>
          <w:tcPr>
            <w:tcW w:type="dxa" w:w="1234"/>
          </w:tcPr>
          <w:p>
            <w:r>
              <w:rPr>
                <w:rFonts w:ascii="Calibri" w:hAnsi="Calibri"/>
                <w:sz w:val="22"/>
              </w:rPr>
              <w:t>25.6%</w:t>
            </w:r>
          </w:p>
        </w:tc>
        <w:tc>
          <w:tcPr>
            <w:tcW w:type="dxa" w:w="1234"/>
          </w:tcPr>
          <w:p>
            <w:r>
              <w:rPr>
                <w:rFonts w:ascii="Calibri" w:hAnsi="Calibri"/>
                <w:sz w:val="22"/>
              </w:rPr>
              <w:t>29.5%</w:t>
            </w:r>
          </w:p>
        </w:tc>
        <w:tc>
          <w:tcPr>
            <w:tcW w:type="dxa" w:w="1234"/>
          </w:tcPr>
          <w:p>
            <w:r>
              <w:rPr>
                <w:rFonts w:ascii="Calibri" w:hAnsi="Calibri"/>
                <w:sz w:val="22"/>
              </w:rPr>
              <w:t>26.9%</w:t>
            </w:r>
          </w:p>
        </w:tc>
        <w:tc>
          <w:tcPr>
            <w:tcW w:type="dxa" w:w="1234"/>
          </w:tcPr>
          <w:p>
            <w:r>
              <w:rPr>
                <w:rFonts w:ascii="Calibri" w:hAnsi="Calibri"/>
                <w:sz w:val="22"/>
              </w:rPr>
              <w:t>-260 bps YoY</w:t>
            </w:r>
          </w:p>
        </w:tc>
        <w:tc>
          <w:tcPr>
            <w:tcW w:type="dxa" w:w="1234"/>
          </w:tcPr>
          <w:p>
            <w:r>
              <w:rPr>
                <w:rFonts w:ascii="Calibri" w:hAnsi="Calibri"/>
                <w:sz w:val="22"/>
              </w:rPr>
              <w:t>+150 bps seq. recovery guided</w:t>
            </w:r>
          </w:p>
        </w:tc>
        <w:tc>
          <w:tcPr>
            <w:tcW w:type="dxa" w:w="1234"/>
          </w:tcPr>
          <w:p>
            <w:r>
              <w:rPr>
                <w:rFonts w:ascii="Calibri" w:hAnsi="Calibri"/>
                <w:sz w:val="22"/>
              </w:rPr>
              <w:t>~+130 bps vs. Q1 actual</w:t>
            </w:r>
          </w:p>
        </w:tc>
      </w:tr>
      <w:tr>
        <w:tc>
          <w:tcPr>
            <w:tcW w:type="dxa" w:w="1234"/>
          </w:tcPr>
          <w:p>
            <w:r>
              <w:rPr>
                <w:rFonts w:ascii="Calibri" w:hAnsi="Calibri"/>
                <w:sz w:val="22"/>
              </w:rPr>
              <w:t>Segment Operating Margin (Total, Adj.)</w:t>
            </w:r>
          </w:p>
        </w:tc>
        <w:tc>
          <w:tcPr>
            <w:tcW w:type="dxa" w:w="1234"/>
          </w:tcPr>
          <w:p>
            <w:r>
              <w:rPr>
                <w:rFonts w:ascii="Calibri" w:hAnsi="Calibri"/>
                <w:sz w:val="22"/>
              </w:rPr>
              <w:t>22.7%</w:t>
            </w:r>
          </w:p>
        </w:tc>
        <w:tc>
          <w:tcPr>
            <w:tcW w:type="dxa" w:w="1234"/>
          </w:tcPr>
          <w:p>
            <w:r>
              <w:rPr>
                <w:rFonts w:ascii="Calibri" w:hAnsi="Calibri"/>
                <w:sz w:val="22"/>
              </w:rPr>
              <w:t>~29.4%</w:t>
            </w:r>
          </w:p>
        </w:tc>
        <w:tc>
          <w:tcPr>
            <w:tcW w:type="dxa" w:w="1234"/>
          </w:tcPr>
          <w:p>
            <w:r>
              <w:rPr>
                <w:rFonts w:ascii="Calibri" w:hAnsi="Calibri"/>
                <w:sz w:val="22"/>
              </w:rPr>
              <w:t>~22.9%</w:t>
            </w:r>
          </w:p>
        </w:tc>
        <w:tc>
          <w:tcPr>
            <w:tcW w:type="dxa" w:w="1234"/>
          </w:tcPr>
          <w:p>
            <w:r>
              <w:rPr>
                <w:rFonts w:ascii="Calibri" w:hAnsi="Calibri"/>
                <w:sz w:val="22"/>
              </w:rPr>
              <w:t>N/A</w:t>
            </w:r>
          </w:p>
        </w:tc>
        <w:tc>
          <w:tcPr>
            <w:tcW w:type="dxa" w:w="1234"/>
          </w:tcPr>
          <w:p>
            <w:r>
              <w:rPr>
                <w:rFonts w:ascii="Calibri" w:hAnsi="Calibri"/>
                <w:sz w:val="22"/>
              </w:rPr>
              <w:t>22.6%–23.0% (22.8% mid)</w:t>
            </w:r>
          </w:p>
        </w:tc>
        <w:tc>
          <w:tcPr>
            <w:tcW w:type="dxa" w:w="1234"/>
          </w:tcPr>
          <w:p>
            <w:r>
              <w:rPr>
                <w:rFonts w:ascii="Calibri" w:hAnsi="Calibri"/>
                <w:sz w:val="22"/>
              </w:rPr>
              <w:t>+0.4%</w:t>
            </w:r>
          </w:p>
        </w:tc>
      </w:tr>
      <w:tr>
        <w:tc>
          <w:tcPr>
            <w:tcW w:type="dxa" w:w="1234"/>
          </w:tcPr>
          <w:p>
            <w:r>
              <w:rPr>
                <w:rFonts w:ascii="Calibri" w:hAnsi="Calibri"/>
                <w:sz w:val="22"/>
              </w:rPr>
              <w:t>Backlog (Total Electrical)</w:t>
            </w:r>
          </w:p>
        </w:tc>
        <w:tc>
          <w:tcPr>
            <w:tcW w:type="dxa" w:w="1234"/>
          </w:tcPr>
          <w:p>
            <w:r>
              <w:rPr>
                <w:rFonts w:ascii="Calibri" w:hAnsi="Calibri"/>
                <w:sz w:val="22"/>
              </w:rPr>
              <w:t>$22.8B</w:t>
            </w:r>
          </w:p>
        </w:tc>
        <w:tc>
          <w:tcPr>
            <w:tcW w:type="dxa" w:w="1234"/>
          </w:tcPr>
          <w:p>
            <w:r>
              <w:rPr>
                <w:rFonts w:ascii="Calibri" w:hAnsi="Calibri"/>
                <w:sz w:val="22"/>
              </w:rPr>
              <w:t>$17.5B</w:t>
            </w:r>
          </w:p>
        </w:tc>
        <w:tc>
          <w:tcPr>
            <w:tcW w:type="dxa" w:w="1234"/>
          </w:tcPr>
          <w:p>
            <w:r>
              <w:rPr>
                <w:rFonts w:ascii="Calibri" w:hAnsi="Calibri"/>
                <w:sz w:val="22"/>
              </w:rPr>
              <w:t>N/A — not in VA</w:t>
            </w:r>
          </w:p>
        </w:tc>
        <w:tc>
          <w:tcPr>
            <w:tcW w:type="dxa" w:w="1234"/>
          </w:tcPr>
          <w:p>
            <w:r>
              <w:rPr>
                <w:rFonts w:ascii="Calibri" w:hAnsi="Calibri"/>
                <w:sz w:val="22"/>
              </w:rPr>
              <w:t>+30.3% YoY (Q1 actual)</w:t>
            </w:r>
          </w:p>
        </w:tc>
        <w:tc>
          <w:tcPr>
            <w:tcW w:type="dxa" w:w="1234"/>
          </w:tcPr>
          <w:p>
            <w:r>
              <w:rPr>
                <w:rFonts w:ascii="Calibri" w:hAnsi="Calibri"/>
                <w:sz w:val="22"/>
              </w:rPr>
              <w:t>N/A</w:t>
            </w:r>
          </w:p>
        </w:tc>
        <w:tc>
          <w:tcPr>
            <w:tcW w:type="dxa" w:w="1234"/>
          </w:tcPr>
          <w:p>
            <w:r>
              <w:rPr>
                <w:rFonts w:ascii="Calibri" w:hAnsi="Calibri"/>
                <w:sz w:val="22"/>
              </w:rPr>
              <w:t>N/A</w:t>
            </w:r>
          </w:p>
        </w:tc>
      </w:tr>
      <w:tr>
        <w:tc>
          <w:tcPr>
            <w:tcW w:type="dxa" w:w="1234"/>
          </w:tcPr>
          <w:p>
            <w:r>
              <w:rPr>
                <w:rFonts w:ascii="Calibri" w:hAnsi="Calibri"/>
                <w:sz w:val="22"/>
              </w:rPr>
              <w:t>Free Cash Flow</w:t>
            </w:r>
          </w:p>
        </w:tc>
        <w:tc>
          <w:tcPr>
            <w:tcW w:type="dxa" w:w="1234"/>
          </w:tcPr>
          <w:p>
            <w:r>
              <w:rPr>
                <w:rFonts w:ascii="Calibri" w:hAnsi="Calibri"/>
                <w:sz w:val="22"/>
              </w:rPr>
              <w:t>$314M</w:t>
            </w:r>
          </w:p>
        </w:tc>
        <w:tc>
          <w:tcPr>
            <w:tcW w:type="dxa" w:w="1234"/>
          </w:tcPr>
          <w:p>
            <w:r>
              <w:rPr>
                <w:rFonts w:ascii="Calibri" w:hAnsi="Calibri"/>
                <w:sz w:val="22"/>
              </w:rPr>
              <w:t>$716M</w:t>
            </w:r>
          </w:p>
        </w:tc>
        <w:tc>
          <w:tcPr>
            <w:tcW w:type="dxa" w:w="1234"/>
          </w:tcPr>
          <w:p>
            <w:r>
              <w:rPr>
                <w:rFonts w:ascii="Calibri" w:hAnsi="Calibri"/>
                <w:sz w:val="22"/>
              </w:rPr>
              <w:t>$811M</w:t>
            </w:r>
          </w:p>
        </w:tc>
        <w:tc>
          <w:tcPr>
            <w:tcW w:type="dxa" w:w="1234"/>
          </w:tcPr>
          <w:p>
            <w:r>
              <w:rPr>
                <w:rFonts w:ascii="Calibri" w:hAnsi="Calibri"/>
                <w:sz w:val="22"/>
              </w:rPr>
              <w:t>+13.3%</w:t>
            </w:r>
          </w:p>
        </w:tc>
        <w:tc>
          <w:tcPr>
            <w:tcW w:type="dxa" w:w="1234"/>
          </w:tcPr>
          <w:p>
            <w:r>
              <w:rPr>
                <w:rFonts w:ascii="Calibri" w:hAnsi="Calibri"/>
                <w:sz w:val="22"/>
              </w:rPr>
              <w:t>FY2026: $3.9–$4.3B</w:t>
            </w:r>
          </w:p>
        </w:tc>
        <w:tc>
          <w:tcPr>
            <w:tcW w:type="dxa" w:w="1234"/>
          </w:tcPr>
          <w:p>
            <w:r>
              <w:rPr>
                <w:rFonts w:ascii="Calibri" w:hAnsi="Calibri"/>
                <w:sz w:val="22"/>
              </w:rPr>
              <w:t>N/A (FY guide)</w:t>
            </w:r>
          </w:p>
        </w:tc>
      </w:tr>
    </w:tbl>
    <w:p>
      <w:r>
        <w:rPr>
          <w:rFonts w:ascii="Calibri" w:hAnsi="Calibri"/>
          <w:color w:val="525866"/>
          <w:sz w:val="22"/>
        </w:rPr>
        <w:t>Sources: Visible Alpha consensus and actuals data; ETN Q1 2026 earnings release (May 5, 2026). Consensus as of July 30, 2026. Q2 2026 guidance from Q1 2026 earnings call (May 5, 2026). YoY change for Electrical Americas margin reflects Q2 2025 actual of 29.46% vs. Q2 2026 consensus of 26.94%.</w:t>
      </w:r>
    </w:p>
    <w:p>
      <w:pPr>
        <w:pStyle w:val="Heading3"/>
      </w:pPr>
      <w:r>
        <w:rPr>
          <w:rFonts w:ascii="Calibri" w:hAnsi="Calibri"/>
          <w:b/>
          <w:color w:val="3B4259"/>
          <w:sz w:val="24"/>
        </w:rPr>
        <w:t>Table 2 — Beat/Miss History (Last 8 Quarters)</w:t>
      </w:r>
    </w:p>
    <w:p>
      <w:pPr>
        <w:pStyle w:val="Heading4"/>
      </w:pPr>
      <w:r>
        <w:rPr>
          <w:rFonts w:ascii="Calibri" w:hAnsi="Calibri"/>
          <w:b/>
          <w:color w:val="3B4259"/>
          <w:sz w:val="22"/>
        </w:rPr>
        <w:t>Adjusted EPS (Diluted)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$2.81</w:t>
            </w:r>
          </w:p>
        </w:tc>
        <w:tc>
          <w:tcPr>
            <w:tcW w:type="dxa" w:w="1728"/>
          </w:tcPr>
          <w:p>
            <w:r>
              <w:rPr>
                <w:rFonts w:ascii="Calibri" w:hAnsi="Calibri"/>
                <w:sz w:val="22"/>
              </w:rPr>
              <w:t>$2.75</w:t>
            </w:r>
          </w:p>
        </w:tc>
        <w:tc>
          <w:tcPr>
            <w:tcW w:type="dxa" w:w="1728"/>
          </w:tcPr>
          <w:p>
            <w:r>
              <w:rPr>
                <w:rFonts w:ascii="Calibri" w:hAnsi="Calibri"/>
                <w:sz w:val="22"/>
              </w:rPr>
              <w:t>+2.2%</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$3.33</w:t>
            </w:r>
          </w:p>
        </w:tc>
        <w:tc>
          <w:tcPr>
            <w:tcW w:type="dxa" w:w="1728"/>
          </w:tcPr>
          <w:p>
            <w:r>
              <w:rPr>
                <w:rFonts w:ascii="Calibri" w:hAnsi="Calibri"/>
                <w:sz w:val="22"/>
              </w:rPr>
              <w:t>$3.32</w:t>
            </w:r>
          </w:p>
        </w:tc>
        <w:tc>
          <w:tcPr>
            <w:tcW w:type="dxa" w:w="1728"/>
          </w:tcPr>
          <w:p>
            <w:r>
              <w:rPr>
                <w:rFonts w:ascii="Calibri" w:hAnsi="Calibri"/>
                <w:sz w:val="22"/>
              </w:rPr>
              <w:t>+0.3%</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$3.07</w:t>
            </w:r>
          </w:p>
        </w:tc>
        <w:tc>
          <w:tcPr>
            <w:tcW w:type="dxa" w:w="1728"/>
          </w:tcPr>
          <w:p>
            <w:r>
              <w:rPr>
                <w:rFonts w:ascii="Calibri" w:hAnsi="Calibri"/>
                <w:sz w:val="22"/>
              </w:rPr>
              <w:t>$3.05</w:t>
            </w:r>
          </w:p>
        </w:tc>
        <w:tc>
          <w:tcPr>
            <w:tcW w:type="dxa" w:w="1728"/>
          </w:tcPr>
          <w:p>
            <w:r>
              <w:rPr>
                <w:rFonts w:ascii="Calibri" w:hAnsi="Calibri"/>
                <w:sz w:val="22"/>
              </w:rPr>
              <w:t>+0.7%</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$2.95</w:t>
            </w:r>
          </w:p>
        </w:tc>
        <w:tc>
          <w:tcPr>
            <w:tcW w:type="dxa" w:w="1728"/>
          </w:tcPr>
          <w:p>
            <w:r>
              <w:rPr>
                <w:rFonts w:ascii="Calibri" w:hAnsi="Calibri"/>
                <w:sz w:val="22"/>
              </w:rPr>
              <w:t>$2.91</w:t>
            </w:r>
          </w:p>
        </w:tc>
        <w:tc>
          <w:tcPr>
            <w:tcW w:type="dxa" w:w="1728"/>
          </w:tcPr>
          <w:p>
            <w:r>
              <w:rPr>
                <w:rFonts w:ascii="Calibri" w:hAnsi="Calibri"/>
                <w:sz w:val="22"/>
              </w:rPr>
              <w:t>+1.4%</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$2.72</w:t>
            </w:r>
          </w:p>
        </w:tc>
        <w:tc>
          <w:tcPr>
            <w:tcW w:type="dxa" w:w="1728"/>
          </w:tcPr>
          <w:p>
            <w:r>
              <w:rPr>
                <w:rFonts w:ascii="Calibri" w:hAnsi="Calibri"/>
                <w:sz w:val="22"/>
              </w:rPr>
              <w:t>$2.70</w:t>
            </w:r>
          </w:p>
        </w:tc>
        <w:tc>
          <w:tcPr>
            <w:tcW w:type="dxa" w:w="1728"/>
          </w:tcPr>
          <w:p>
            <w:r>
              <w:rPr>
                <w:rFonts w:ascii="Calibri" w:hAnsi="Calibri"/>
                <w:sz w:val="22"/>
              </w:rPr>
              <w:t>+0.7%</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$2.83</w:t>
            </w:r>
          </w:p>
        </w:tc>
        <w:tc>
          <w:tcPr>
            <w:tcW w:type="dxa" w:w="1728"/>
          </w:tcPr>
          <w:p>
            <w:r>
              <w:rPr>
                <w:rFonts w:ascii="Calibri" w:hAnsi="Calibri"/>
                <w:sz w:val="22"/>
              </w:rPr>
              <w:t>$2.78</w:t>
            </w:r>
          </w:p>
        </w:tc>
        <w:tc>
          <w:tcPr>
            <w:tcW w:type="dxa" w:w="1728"/>
          </w:tcPr>
          <w:p>
            <w:r>
              <w:rPr>
                <w:rFonts w:ascii="Calibri" w:hAnsi="Calibri"/>
                <w:sz w:val="22"/>
              </w:rPr>
              <w:t>+1.8%</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$2.84</w:t>
            </w:r>
          </w:p>
        </w:tc>
        <w:tc>
          <w:tcPr>
            <w:tcW w:type="dxa" w:w="1728"/>
          </w:tcPr>
          <w:p>
            <w:r>
              <w:rPr>
                <w:rFonts w:ascii="Calibri" w:hAnsi="Calibri"/>
                <w:sz w:val="22"/>
              </w:rPr>
              <w:t>$2.79</w:t>
            </w:r>
          </w:p>
        </w:tc>
        <w:tc>
          <w:tcPr>
            <w:tcW w:type="dxa" w:w="1728"/>
          </w:tcPr>
          <w:p>
            <w:r>
              <w:rPr>
                <w:rFonts w:ascii="Calibri" w:hAnsi="Calibri"/>
                <w:sz w:val="22"/>
              </w:rPr>
              <w:t>+1.8%</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N/A — not in VA for this period</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pPr>
        <w:pStyle w:val="Heading4"/>
      </w:pPr>
      <w:r>
        <w:rPr>
          <w:rFonts w:ascii="Calibri" w:hAnsi="Calibri"/>
          <w:b/>
          <w:color w:val="3B4259"/>
          <w:sz w:val="22"/>
        </w:rPr>
        <w:t>Net Sales — Electrical Americas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$3.60B</w:t>
            </w:r>
          </w:p>
        </w:tc>
        <w:tc>
          <w:tcPr>
            <w:tcW w:type="dxa" w:w="1728"/>
          </w:tcPr>
          <w:p>
            <w:r>
              <w:rPr>
                <w:rFonts w:ascii="Calibri" w:hAnsi="Calibri"/>
                <w:sz w:val="22"/>
              </w:rPr>
              <w:t>$3.47B</w:t>
            </w:r>
          </w:p>
        </w:tc>
        <w:tc>
          <w:tcPr>
            <w:tcW w:type="dxa" w:w="1728"/>
          </w:tcPr>
          <w:p>
            <w:r>
              <w:rPr>
                <w:rFonts w:ascii="Calibri" w:hAnsi="Calibri"/>
                <w:sz w:val="22"/>
              </w:rPr>
              <w:t>+3.7%</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$3.51B</w:t>
            </w:r>
          </w:p>
        </w:tc>
        <w:tc>
          <w:tcPr>
            <w:tcW w:type="dxa" w:w="1728"/>
          </w:tcPr>
          <w:p>
            <w:r>
              <w:rPr>
                <w:rFonts w:ascii="Calibri" w:hAnsi="Calibri"/>
                <w:sz w:val="22"/>
              </w:rPr>
              <w:t>$3.58B</w:t>
            </w:r>
          </w:p>
        </w:tc>
        <w:tc>
          <w:tcPr>
            <w:tcW w:type="dxa" w:w="1728"/>
          </w:tcPr>
          <w:p>
            <w:r>
              <w:rPr>
                <w:rFonts w:ascii="Calibri" w:hAnsi="Calibri"/>
                <w:sz w:val="22"/>
              </w:rPr>
              <w:t>-2.0%</w:t>
            </w:r>
          </w:p>
        </w:tc>
        <w:tc>
          <w:tcPr>
            <w:tcW w:type="dxa" w:w="1728"/>
          </w:tcPr>
          <w:p>
            <w:r>
              <w:rPr>
                <w:rFonts w:ascii="Calibri" w:hAnsi="Calibri"/>
                <w:b/>
                <w:color w:val="E5484D"/>
                <w:sz w:val="22"/>
              </w:rPr>
              <w:t>Miss</w:t>
            </w:r>
          </w:p>
        </w:tc>
      </w:tr>
      <w:tr>
        <w:tc>
          <w:tcPr>
            <w:tcW w:type="dxa" w:w="1728"/>
          </w:tcPr>
          <w:p>
            <w:r>
              <w:rPr>
                <w:rFonts w:ascii="Calibri" w:hAnsi="Calibri"/>
                <w:sz w:val="22"/>
              </w:rPr>
              <w:t>Q3 2025</w:t>
            </w:r>
          </w:p>
        </w:tc>
        <w:tc>
          <w:tcPr>
            <w:tcW w:type="dxa" w:w="1728"/>
          </w:tcPr>
          <w:p>
            <w:r>
              <w:rPr>
                <w:rFonts w:ascii="Calibri" w:hAnsi="Calibri"/>
                <w:sz w:val="22"/>
              </w:rPr>
              <w:t>$3.41B</w:t>
            </w:r>
          </w:p>
        </w:tc>
        <w:tc>
          <w:tcPr>
            <w:tcW w:type="dxa" w:w="1728"/>
          </w:tcPr>
          <w:p>
            <w:r>
              <w:rPr>
                <w:rFonts w:ascii="Calibri" w:hAnsi="Calibri"/>
                <w:sz w:val="22"/>
              </w:rPr>
              <w:t>$3.51B</w:t>
            </w:r>
          </w:p>
        </w:tc>
        <w:tc>
          <w:tcPr>
            <w:tcW w:type="dxa" w:w="1728"/>
          </w:tcPr>
          <w:p>
            <w:r>
              <w:rPr>
                <w:rFonts w:ascii="Calibri" w:hAnsi="Calibri"/>
                <w:sz w:val="22"/>
              </w:rPr>
              <w:t>-2.9%</w:t>
            </w:r>
          </w:p>
        </w:tc>
        <w:tc>
          <w:tcPr>
            <w:tcW w:type="dxa" w:w="1728"/>
          </w:tcPr>
          <w:p>
            <w:r>
              <w:rPr>
                <w:rFonts w:ascii="Calibri" w:hAnsi="Calibri"/>
                <w:b/>
                <w:color w:val="E5484D"/>
                <w:sz w:val="22"/>
              </w:rPr>
              <w:t>Miss</w:t>
            </w:r>
          </w:p>
        </w:tc>
      </w:tr>
      <w:tr>
        <w:tc>
          <w:tcPr>
            <w:tcW w:type="dxa" w:w="1728"/>
          </w:tcPr>
          <w:p>
            <w:r>
              <w:rPr>
                <w:rFonts w:ascii="Calibri" w:hAnsi="Calibri"/>
                <w:sz w:val="22"/>
              </w:rPr>
              <w:t>Q2 2025</w:t>
            </w:r>
          </w:p>
        </w:tc>
        <w:tc>
          <w:tcPr>
            <w:tcW w:type="dxa" w:w="1728"/>
          </w:tcPr>
          <w:p>
            <w:r>
              <w:rPr>
                <w:rFonts w:ascii="Calibri" w:hAnsi="Calibri"/>
                <w:sz w:val="22"/>
              </w:rPr>
              <w:t>$3.35B</w:t>
            </w:r>
          </w:p>
        </w:tc>
        <w:tc>
          <w:tcPr>
            <w:tcW w:type="dxa" w:w="1728"/>
          </w:tcPr>
          <w:p>
            <w:r>
              <w:rPr>
                <w:rFonts w:ascii="Calibri" w:hAnsi="Calibri"/>
                <w:sz w:val="22"/>
              </w:rPr>
              <w:t>$3.31B</w:t>
            </w:r>
          </w:p>
        </w:tc>
        <w:tc>
          <w:tcPr>
            <w:tcW w:type="dxa" w:w="1728"/>
          </w:tcPr>
          <w:p>
            <w:r>
              <w:rPr>
                <w:rFonts w:ascii="Calibri" w:hAnsi="Calibri"/>
                <w:sz w:val="22"/>
              </w:rPr>
              <w:t>+1.2%</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$3.01B</w:t>
            </w:r>
          </w:p>
        </w:tc>
        <w:tc>
          <w:tcPr>
            <w:tcW w:type="dxa" w:w="1728"/>
          </w:tcPr>
          <w:p>
            <w:r>
              <w:rPr>
                <w:rFonts w:ascii="Calibri" w:hAnsi="Calibri"/>
                <w:sz w:val="22"/>
              </w:rPr>
              <w:t>$2.97B</w:t>
            </w:r>
          </w:p>
        </w:tc>
        <w:tc>
          <w:tcPr>
            <w:tcW w:type="dxa" w:w="1728"/>
          </w:tcPr>
          <w:p>
            <w:r>
              <w:rPr>
                <w:rFonts w:ascii="Calibri" w:hAnsi="Calibri"/>
                <w:sz w:val="22"/>
              </w:rPr>
              <w:t>+1.4%</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$2.91B</w:t>
            </w:r>
          </w:p>
        </w:tc>
        <w:tc>
          <w:tcPr>
            <w:tcW w:type="dxa" w:w="1728"/>
          </w:tcPr>
          <w:p>
            <w:r>
              <w:rPr>
                <w:rFonts w:ascii="Calibri" w:hAnsi="Calibri"/>
                <w:sz w:val="22"/>
              </w:rPr>
              <w:t>$2.98B</w:t>
            </w:r>
          </w:p>
        </w:tc>
        <w:tc>
          <w:tcPr>
            <w:tcW w:type="dxa" w:w="1728"/>
          </w:tcPr>
          <w:p>
            <w:r>
              <w:rPr>
                <w:rFonts w:ascii="Calibri" w:hAnsi="Calibri"/>
                <w:sz w:val="22"/>
              </w:rPr>
              <w:t>-2.4%</w:t>
            </w:r>
          </w:p>
        </w:tc>
        <w:tc>
          <w:tcPr>
            <w:tcW w:type="dxa" w:w="1728"/>
          </w:tcPr>
          <w:p>
            <w:r>
              <w:rPr>
                <w:rFonts w:ascii="Calibri" w:hAnsi="Calibri"/>
                <w:b/>
                <w:color w:val="E5484D"/>
                <w:sz w:val="22"/>
              </w:rPr>
              <w:t>Miss</w:t>
            </w:r>
          </w:p>
        </w:tc>
      </w:tr>
      <w:tr>
        <w:tc>
          <w:tcPr>
            <w:tcW w:type="dxa" w:w="1728"/>
          </w:tcPr>
          <w:p>
            <w:r>
              <w:rPr>
                <w:rFonts w:ascii="Calibri" w:hAnsi="Calibri"/>
                <w:sz w:val="22"/>
              </w:rPr>
              <w:t>Q3 2024</w:t>
            </w:r>
          </w:p>
        </w:tc>
        <w:tc>
          <w:tcPr>
            <w:tcW w:type="dxa" w:w="1728"/>
          </w:tcPr>
          <w:p>
            <w:r>
              <w:rPr>
                <w:rFonts w:ascii="Calibri" w:hAnsi="Calibri"/>
                <w:sz w:val="22"/>
              </w:rPr>
              <w:t>$2.96B</w:t>
            </w:r>
          </w:p>
        </w:tc>
        <w:tc>
          <w:tcPr>
            <w:tcW w:type="dxa" w:w="1728"/>
          </w:tcPr>
          <w:p>
            <w:r>
              <w:rPr>
                <w:rFonts w:ascii="Calibri" w:hAnsi="Calibri"/>
                <w:sz w:val="22"/>
              </w:rPr>
              <w:t>$2.91B</w:t>
            </w:r>
          </w:p>
        </w:tc>
        <w:tc>
          <w:tcPr>
            <w:tcW w:type="dxa" w:w="1728"/>
          </w:tcPr>
          <w:p>
            <w:r>
              <w:rPr>
                <w:rFonts w:ascii="Calibri" w:hAnsi="Calibri"/>
                <w:sz w:val="22"/>
              </w:rPr>
              <w:t>+1.7%</w:t>
            </w:r>
          </w:p>
        </w:tc>
        <w:tc>
          <w:tcPr>
            <w:tcW w:type="dxa" w:w="1728"/>
          </w:tcPr>
          <w:p>
            <w:r>
              <w:rPr>
                <w:rFonts w:ascii="Calibri" w:hAnsi="Calibri"/>
                <w:b/>
                <w:color w:val="30A46C"/>
                <w:sz w:val="22"/>
              </w:rPr>
              <w:t>Beat</w:t>
            </w:r>
          </w:p>
        </w:tc>
      </w:tr>
      <w:tr>
        <w:tc>
          <w:tcPr>
            <w:tcW w:type="dxa" w:w="1728"/>
          </w:tcPr>
          <w:p>
            <w:r>
              <w:rPr>
                <w:rFonts w:ascii="Calibri" w:hAnsi="Calibri"/>
                <w:sz w:val="22"/>
              </w:rPr>
              <w:t>Q2 2024</w:t>
            </w:r>
          </w:p>
        </w:tc>
        <w:tc>
          <w:tcPr>
            <w:tcW w:type="dxa" w:w="1728"/>
          </w:tcPr>
          <w:p>
            <w:r>
              <w:rPr>
                <w:rFonts w:ascii="Calibri" w:hAnsi="Calibri"/>
                <w:sz w:val="22"/>
              </w:rPr>
              <w:t>N/A — not in VA for this period</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w:t>
            </w:r>
          </w:p>
        </w:tc>
      </w:tr>
    </w:tbl>
    <w:p>
      <w:r>
        <w:rPr>
          <w:rFonts w:ascii="Calibri" w:hAnsi="Calibri"/>
          <w:b/>
          <w:color w:val="525866"/>
          <w:sz w:val="22"/>
        </w:rPr>
        <w:t xml:space="preserve">Pattern: </w:t>
      </w:r>
      <w:r>
        <w:rPr>
          <w:rFonts w:ascii="Calibri" w:hAnsi="Calibri"/>
          <w:color w:val="525866"/>
          <w:sz w:val="22"/>
        </w:rPr>
        <w:t>ETN has beaten adjusted EPS consensus in every reported quarter over the last 7 quarters, consistently by 1–2%, reflecting disciplined guidance-setting. Electrical Americas revenue has been more volatile — 3 misses in the last 7 quarters — reflecting the lumpiness of large project deliveries and capacity ramp timing. The Q1 2026 Electrical Americas revenue beat (+3.7%) was the largest in recent history, driven by accelerated data center shipments.</w:t>
      </w:r>
    </w:p>
    <w:p>
      <w:r>
        <w:rPr>
          <w:rFonts w:ascii="Calibri" w:hAnsi="Calibr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No post-Q1 guidance revision has been issued; the baseline remains the May 5 Q1 earnings call. Management raised organic growth guidance by 200 bps and raised EPS guidance while simultaneously lowering segment margin guidance by 50 bps — a mixed signal that the market initially penalized. Tone remains highly confident with no subsequent walk-back.</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5, 2026)</w:t>
            </w:r>
          </w:p>
        </w:tc>
        <w:tc>
          <w:tcPr>
            <w:tcW w:type="dxa" w:w="1728"/>
            <w:shd w:val="clear" w:color="auto" w:fill="3B4259"/>
          </w:tcPr>
          <w:p>
            <w:r>
              <w:rPr>
                <w:rFonts w:ascii="Calibri" w:hAnsi="Calibri"/>
                <w:b/>
                <w:color w:val="FFFFFF"/>
                <w:sz w:val="22"/>
              </w:rPr>
              <w:t>Revised Guidance (Post-Earnings Event)</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Adjusted EPS</w:t>
            </w:r>
          </w:p>
        </w:tc>
        <w:tc>
          <w:tcPr>
            <w:tcW w:type="dxa" w:w="1728"/>
          </w:tcPr>
          <w:p>
            <w:r>
              <w:rPr>
                <w:rFonts w:ascii="Calibri" w:hAnsi="Calibri"/>
                <w:sz w:val="22"/>
              </w:rPr>
              <w:t>$3.00–$3.10 ($3.05 mid)</w:t>
            </w:r>
          </w:p>
        </w:tc>
        <w:tc>
          <w:tcPr>
            <w:tcW w:type="dxa" w:w="1728"/>
          </w:tcPr>
          <w:p>
            <w:r>
              <w:rPr>
                <w:rFonts w:ascii="Calibri" w:hAnsi="Calibri"/>
                <w:sz w:val="22"/>
              </w:rPr>
              <w:t>—</w:t>
            </w:r>
          </w:p>
        </w:tc>
        <w:tc>
          <w:tcPr>
            <w:tcW w:type="dxa" w:w="1728"/>
          </w:tcPr>
          <w:p>
            <w:r>
              <w:rPr>
                <w:rFonts w:ascii="Calibri" w:hAnsi="Calibri"/>
                <w:sz w:val="22"/>
              </w:rPr>
              <w:t>$3.08</w:t>
            </w:r>
          </w:p>
        </w:tc>
        <w:tc>
          <w:tcPr>
            <w:tcW w:type="dxa" w:w="1728"/>
          </w:tcPr>
          <w:p>
            <w:r>
              <w:rPr>
                <w:rFonts w:ascii="Calibri" w:hAnsi="Calibri"/>
                <w:sz w:val="22"/>
              </w:rPr>
              <w:t>No post-earnings revision; consensus sits +$0.03 above midpoint</w:t>
            </w:r>
          </w:p>
        </w:tc>
      </w:tr>
      <w:tr>
        <w:tc>
          <w:tcPr>
            <w:tcW w:type="dxa" w:w="1728"/>
          </w:tcPr>
          <w:p>
            <w:r>
              <w:rPr>
                <w:rFonts w:ascii="Calibri" w:hAnsi="Calibri"/>
                <w:sz w:val="22"/>
              </w:rPr>
              <w:t>Q2 2026 Organic Growth</w:t>
            </w:r>
          </w:p>
        </w:tc>
        <w:tc>
          <w:tcPr>
            <w:tcW w:type="dxa" w:w="1728"/>
          </w:tcPr>
          <w:p>
            <w:r>
              <w:rPr>
                <w:rFonts w:ascii="Calibri" w:hAnsi="Calibri"/>
                <w:sz w:val="22"/>
              </w:rPr>
              <w:t>9%–11% (10% mid)</w:t>
            </w:r>
          </w:p>
        </w:tc>
        <w:tc>
          <w:tcPr>
            <w:tcW w:type="dxa" w:w="1728"/>
          </w:tcPr>
          <w:p>
            <w:r>
              <w:rPr>
                <w:rFonts w:ascii="Calibri" w:hAnsi="Calibri"/>
                <w:sz w:val="22"/>
              </w:rPr>
              <w:t>—</w:t>
            </w:r>
          </w:p>
        </w:tc>
        <w:tc>
          <w:tcPr>
            <w:tcW w:type="dxa" w:w="1728"/>
          </w:tcPr>
          <w:p>
            <w:r>
              <w:rPr>
                <w:rFonts w:ascii="Calibri" w:hAnsi="Calibri"/>
                <w:sz w:val="22"/>
              </w:rPr>
              <w:t>~10% implied by revenue consensus</w:t>
            </w:r>
          </w:p>
        </w:tc>
        <w:tc>
          <w:tcPr>
            <w:tcW w:type="dxa" w:w="1728"/>
          </w:tcPr>
          <w:p>
            <w:r>
              <w:rPr>
                <w:rFonts w:ascii="Calibri" w:hAnsi="Calibri"/>
                <w:sz w:val="22"/>
              </w:rPr>
              <w:t>Consensus tracking guidance midpoint</w:t>
            </w:r>
          </w:p>
        </w:tc>
      </w:tr>
      <w:tr>
        <w:tc>
          <w:tcPr>
            <w:tcW w:type="dxa" w:w="1728"/>
          </w:tcPr>
          <w:p>
            <w:r>
              <w:rPr>
                <w:rFonts w:ascii="Calibri" w:hAnsi="Calibri"/>
                <w:sz w:val="22"/>
              </w:rPr>
              <w:t>Q2 2026 Segment Margins</w:t>
            </w:r>
          </w:p>
        </w:tc>
        <w:tc>
          <w:tcPr>
            <w:tcW w:type="dxa" w:w="1728"/>
          </w:tcPr>
          <w:p>
            <w:r>
              <w:rPr>
                <w:rFonts w:ascii="Calibri" w:hAnsi="Calibri"/>
                <w:sz w:val="22"/>
              </w:rPr>
              <w:t>22.6%–23.0% (22.8% mid)</w:t>
            </w:r>
          </w:p>
        </w:tc>
        <w:tc>
          <w:tcPr>
            <w:tcW w:type="dxa" w:w="1728"/>
          </w:tcPr>
          <w:p>
            <w:r>
              <w:rPr>
                <w:rFonts w:ascii="Calibri" w:hAnsi="Calibri"/>
                <w:sz w:val="22"/>
              </w:rPr>
              <w:t>—</w:t>
            </w:r>
          </w:p>
        </w:tc>
        <w:tc>
          <w:tcPr>
            <w:tcW w:type="dxa" w:w="1728"/>
          </w:tcPr>
          <w:p>
            <w:r>
              <w:rPr>
                <w:rFonts w:ascii="Calibri" w:hAnsi="Calibri"/>
                <w:sz w:val="22"/>
              </w:rPr>
              <w:t>~22.9%</w:t>
            </w:r>
          </w:p>
        </w:tc>
        <w:tc>
          <w:tcPr>
            <w:tcW w:type="dxa" w:w="1728"/>
          </w:tcPr>
          <w:p>
            <w:r>
              <w:rPr>
                <w:rFonts w:ascii="Calibri" w:hAnsi="Calibri"/>
                <w:sz w:val="22"/>
              </w:rPr>
              <w:t>Consensus at midpoint; Electrical Americas +150 bps seq. recovery is the key driver</w:t>
            </w:r>
          </w:p>
        </w:tc>
      </w:tr>
      <w:tr>
        <w:tc>
          <w:tcPr>
            <w:tcW w:type="dxa" w:w="1728"/>
          </w:tcPr>
          <w:p>
            <w:r>
              <w:rPr>
                <w:rFonts w:ascii="Calibri" w:hAnsi="Calibri"/>
                <w:sz w:val="22"/>
              </w:rPr>
              <w:t>FY2026 Adjusted EPS</w:t>
            </w:r>
          </w:p>
        </w:tc>
        <w:tc>
          <w:tcPr>
            <w:tcW w:type="dxa" w:w="1728"/>
          </w:tcPr>
          <w:p>
            <w:r>
              <w:rPr>
                <w:rFonts w:ascii="Calibri" w:hAnsi="Calibri"/>
                <w:sz w:val="22"/>
              </w:rPr>
              <w:t>$13.05–$13.50 ($13.28 mid)</w:t>
            </w:r>
          </w:p>
        </w:tc>
        <w:tc>
          <w:tcPr>
            <w:tcW w:type="dxa" w:w="1728"/>
          </w:tcPr>
          <w:p>
            <w:r>
              <w:rPr>
                <w:rFonts w:ascii="Calibri" w:hAnsi="Calibri"/>
                <w:sz w:val="22"/>
              </w:rPr>
              <w:t>—</w:t>
            </w:r>
          </w:p>
        </w:tc>
        <w:tc>
          <w:tcPr>
            <w:tcW w:type="dxa" w:w="1728"/>
          </w:tcPr>
          <w:p>
            <w:r>
              <w:rPr>
                <w:rFonts w:ascii="Calibri" w:hAnsi="Calibri"/>
                <w:sz w:val="22"/>
              </w:rPr>
              <w:t>$13.35</w:t>
            </w:r>
          </w:p>
        </w:tc>
        <w:tc>
          <w:tcPr>
            <w:tcW w:type="dxa" w:w="1728"/>
          </w:tcPr>
          <w:p>
            <w:r>
              <w:rPr>
                <w:rFonts w:ascii="Calibri" w:hAnsi="Calibri"/>
                <w:sz w:val="22"/>
              </w:rPr>
              <w:t>Consensus +$0.07 above midpoint; raised from prior $12.80–$13.20 at Q4 2025 earnings</w:t>
            </w:r>
          </w:p>
        </w:tc>
      </w:tr>
      <w:tr>
        <w:tc>
          <w:tcPr>
            <w:tcW w:type="dxa" w:w="1728"/>
          </w:tcPr>
          <w:p>
            <w:r>
              <w:rPr>
                <w:rFonts w:ascii="Calibri" w:hAnsi="Calibri"/>
                <w:sz w:val="22"/>
              </w:rPr>
              <w:t>FY2026 Organic Growth</w:t>
            </w:r>
          </w:p>
        </w:tc>
        <w:tc>
          <w:tcPr>
            <w:tcW w:type="dxa" w:w="1728"/>
          </w:tcPr>
          <w:p>
            <w:r>
              <w:rPr>
                <w:rFonts w:ascii="Calibri" w:hAnsi="Calibri"/>
                <w:sz w:val="22"/>
              </w:rPr>
              <w:t>9%–11% (10% mid)</w:t>
            </w:r>
          </w:p>
        </w:tc>
        <w:tc>
          <w:tcPr>
            <w:tcW w:type="dxa" w:w="1728"/>
          </w:tcPr>
          <w:p>
            <w:r>
              <w:rPr>
                <w:rFonts w:ascii="Calibri" w:hAnsi="Calibri"/>
                <w:sz w:val="22"/>
              </w:rPr>
              <w:t>—</w:t>
            </w:r>
          </w:p>
        </w:tc>
        <w:tc>
          <w:tcPr>
            <w:tcW w:type="dxa" w:w="1728"/>
          </w:tcPr>
          <w:p>
            <w:r>
              <w:rPr>
                <w:rFonts w:ascii="Calibri" w:hAnsi="Calibri"/>
                <w:sz w:val="22"/>
              </w:rPr>
              <w:t>~10% implied</w:t>
            </w:r>
          </w:p>
        </w:tc>
        <w:tc>
          <w:tcPr>
            <w:tcW w:type="dxa" w:w="1728"/>
          </w:tcPr>
          <w:p>
            <w:r>
              <w:rPr>
                <w:rFonts w:ascii="Calibri" w:hAnsi="Calibri"/>
                <w:sz w:val="22"/>
              </w:rPr>
              <w:t>↑ Raised 200 bps at Q1 print from prior 7–9% guide; no further revision</w:t>
            </w:r>
          </w:p>
        </w:tc>
      </w:tr>
      <w:tr>
        <w:tc>
          <w:tcPr>
            <w:tcW w:type="dxa" w:w="1728"/>
          </w:tcPr>
          <w:p>
            <w:r>
              <w:rPr>
                <w:rFonts w:ascii="Calibri" w:hAnsi="Calibri"/>
                <w:sz w:val="22"/>
              </w:rPr>
              <w:t>FY2026 Segment Margins</w:t>
            </w:r>
          </w:p>
        </w:tc>
        <w:tc>
          <w:tcPr>
            <w:tcW w:type="dxa" w:w="1728"/>
          </w:tcPr>
          <w:p>
            <w:r>
              <w:rPr>
                <w:rFonts w:ascii="Calibri" w:hAnsi="Calibri"/>
                <w:sz w:val="22"/>
              </w:rPr>
              <w:t>24.1%–24.5% (24.3% mid)</w:t>
            </w:r>
          </w:p>
        </w:tc>
        <w:tc>
          <w:tcPr>
            <w:tcW w:type="dxa" w:w="1728"/>
          </w:tcPr>
          <w:p>
            <w:r>
              <w:rPr>
                <w:rFonts w:ascii="Calibri" w:hAnsi="Calibri"/>
                <w:sz w:val="22"/>
              </w:rPr>
              <w:t>—</w:t>
            </w:r>
          </w:p>
        </w:tc>
        <w:tc>
          <w:tcPr>
            <w:tcW w:type="dxa" w:w="1728"/>
          </w:tcPr>
          <w:p>
            <w:r>
              <w:rPr>
                <w:rFonts w:ascii="Calibri" w:hAnsi="Calibri"/>
                <w:sz w:val="22"/>
              </w:rPr>
              <w:t>~28.8% (segment op. margin)</w:t>
            </w:r>
          </w:p>
        </w:tc>
        <w:tc>
          <w:tcPr>
            <w:tcW w:type="dxa" w:w="1728"/>
          </w:tcPr>
          <w:p>
            <w:r>
              <w:rPr>
                <w:rFonts w:ascii="Calibri" w:hAnsi="Calibri"/>
                <w:sz w:val="22"/>
              </w:rPr>
              <w:t>↓ Lowered 50 bps at Q1 print due to Electrical Americas Q1 cost headwinds; exit rate &gt;30% in Elec. Americas still targeted</w:t>
            </w:r>
          </w:p>
        </w:tc>
      </w:tr>
      <w:tr>
        <w:tc>
          <w:tcPr>
            <w:tcW w:type="dxa" w:w="1728"/>
          </w:tcPr>
          <w:p>
            <w:r>
              <w:rPr>
                <w:rFonts w:ascii="Calibri" w:hAnsi="Calibri"/>
                <w:sz w:val="22"/>
              </w:rPr>
              <w:t>FY2026 Free Cash Flow</w:t>
            </w:r>
          </w:p>
        </w:tc>
        <w:tc>
          <w:tcPr>
            <w:tcW w:type="dxa" w:w="1728"/>
          </w:tcPr>
          <w:p>
            <w:r>
              <w:rPr>
                <w:rFonts w:ascii="Calibri" w:hAnsi="Calibri"/>
                <w:sz w:val="22"/>
              </w:rPr>
              <w:t>$3.9B–$4.3B ($4.1B mid)</w:t>
            </w:r>
          </w:p>
        </w:tc>
        <w:tc>
          <w:tcPr>
            <w:tcW w:type="dxa" w:w="1728"/>
          </w:tcPr>
          <w:p>
            <w:r>
              <w:rPr>
                <w:rFonts w:ascii="Calibri" w:hAnsi="Calibri"/>
                <w:sz w:val="22"/>
              </w:rPr>
              <w:t>—</w:t>
            </w:r>
          </w:p>
        </w:tc>
        <w:tc>
          <w:tcPr>
            <w:tcW w:type="dxa" w:w="1728"/>
          </w:tcPr>
          <w:p>
            <w:r>
              <w:rPr>
                <w:rFonts w:ascii="Calibri" w:hAnsi="Calibri"/>
                <w:sz w:val="22"/>
              </w:rPr>
              <w:t>$3.92B</w:t>
            </w:r>
          </w:p>
        </w:tc>
        <w:tc>
          <w:tcPr>
            <w:tcW w:type="dxa" w:w="1728"/>
          </w:tcPr>
          <w:p>
            <w:r>
              <w:rPr>
                <w:rFonts w:ascii="Calibri" w:hAnsi="Calibri"/>
                <w:sz w:val="22"/>
              </w:rPr>
              <w:t>Reaffirmed at Q1 print; consensus tracking low end of range</w:t>
            </w:r>
          </w:p>
        </w:tc>
      </w:tr>
      <w:tr>
        <w:tc>
          <w:tcPr>
            <w:tcW w:type="dxa" w:w="1728"/>
          </w:tcPr>
          <w:p>
            <w:r>
              <w:rPr>
                <w:rFonts w:ascii="Calibri" w:hAnsi="Calibri"/>
                <w:sz w:val="22"/>
              </w:rPr>
              <w:t>Boyd Thermal Revenue (FY2026)</w:t>
            </w:r>
          </w:p>
        </w:tc>
        <w:tc>
          <w:tcPr>
            <w:tcW w:type="dxa" w:w="1728"/>
          </w:tcPr>
          <w:p>
            <w:r>
              <w:rPr>
                <w:rFonts w:ascii="Calibri" w:hAnsi="Calibri"/>
                <w:sz w:val="22"/>
              </w:rPr>
              <w:t>$1.7B+ ($1.4B in ETN financials)</w:t>
            </w:r>
          </w:p>
        </w:tc>
        <w:tc>
          <w:tcPr>
            <w:tcW w:type="dxa" w:w="1728"/>
          </w:tcPr>
          <w:p>
            <w:r>
              <w:rPr>
                <w:rFonts w:ascii="Calibri" w:hAnsi="Calibri"/>
                <w:sz w:val="22"/>
              </w:rPr>
              <w:t>—</w:t>
            </w:r>
          </w:p>
        </w:tc>
        <w:tc>
          <w:tcPr>
            <w:tcW w:type="dxa" w:w="1728"/>
          </w:tcPr>
          <w:p>
            <w:r>
              <w:rPr>
                <w:rFonts w:ascii="Calibri" w:hAnsi="Calibri"/>
                <w:sz w:val="22"/>
              </w:rPr>
              <w:t>N/A — not separately tracked in VA</w:t>
            </w:r>
          </w:p>
        </w:tc>
        <w:tc>
          <w:tcPr>
            <w:tcW w:type="dxa" w:w="1728"/>
          </w:tcPr>
          <w:p>
            <w:r>
              <w:rPr>
                <w:rFonts w:ascii="Calibri" w:hAnsi="Calibri"/>
                <w:sz w:val="22"/>
              </w:rPr>
              <w:t>Q1 revenues more than doubled YoY; Q2 run rate guided at ~$400M, rising to ~$450M/qtr in 2H</w:t>
            </w:r>
          </w:p>
        </w:tc>
      </w:tr>
    </w:tbl>
    <w:p>
      <w:r>
        <w:rPr>
          <w:rFonts w:ascii="Calibri" w:hAnsi="Calibri"/>
          <w:color w:val="525866"/>
          <w:sz w:val="22"/>
        </w:rPr>
        <w:t>Source: ETN Q1 2026 Earnings Call transcript and press release (May 5, 2026); Visible Alpha consensus data.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for Q2 2026 and FY2026 have been essentially flat since the Q1 print, tracking management’s guidance framework with a modest positive cushion on EPS. The lack of downward revision despite the Q1 margin miss suggests the Street believes the margin recovery story; the risk is if Q2 margins disappoint again, triggering a more meaningful estimate reset.</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&amp; Period</w:t>
            </w:r>
          </w:p>
        </w:tc>
        <w:tc>
          <w:tcPr>
            <w:tcW w:type="dxa" w:w="1080"/>
            <w:shd w:val="clear" w:color="auto" w:fill="3B4259"/>
          </w:tcPr>
          <w:p>
            <w:r>
              <w:rPr>
                <w:rFonts w:ascii="Calibri" w:hAnsi="Calibri"/>
                <w:b/>
                <w:color w:val="FFFFFF"/>
                <w:sz w:val="22"/>
              </w:rPr>
              <w:t>Estimate ~5 Days Post Q1 Earnings (as of May 12, 2026)</w:t>
            </w:r>
          </w:p>
        </w:tc>
        <w:tc>
          <w:tcPr>
            <w:tcW w:type="dxa" w:w="1080"/>
            <w:shd w:val="clear" w:color="auto" w:fill="3B4259"/>
          </w:tcPr>
          <w:p>
            <w:r>
              <w:rPr>
                <w:rFonts w:ascii="Calibri" w:hAnsi="Calibri"/>
                <w:b/>
                <w:color w:val="FFFFFF"/>
                <w:sz w:val="22"/>
              </w:rPr>
              <w:t>Current Consensus (July 30,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 May 5)</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Adj. EPS — Q2 2026</w:t>
            </w:r>
          </w:p>
        </w:tc>
        <w:tc>
          <w:tcPr>
            <w:tcW w:type="dxa" w:w="1080"/>
          </w:tcPr>
          <w:p>
            <w:r>
              <w:rPr>
                <w:rFonts w:ascii="Calibri" w:hAnsi="Calibri"/>
                <w:sz w:val="22"/>
              </w:rPr>
              <w:t>$3.077</w:t>
            </w:r>
          </w:p>
        </w:tc>
        <w:tc>
          <w:tcPr>
            <w:tcW w:type="dxa" w:w="1080"/>
          </w:tcPr>
          <w:p>
            <w:r>
              <w:rPr>
                <w:rFonts w:ascii="Calibri" w:hAnsi="Calibri"/>
                <w:sz w:val="22"/>
              </w:rPr>
              <w:t>$3.076</w:t>
            </w:r>
          </w:p>
        </w:tc>
        <w:tc>
          <w:tcPr>
            <w:tcW w:type="dxa" w:w="1080"/>
          </w:tcPr>
          <w:p>
            <w:r>
              <w:rPr>
                <w:rFonts w:ascii="Calibri" w:hAnsi="Calibri"/>
                <w:sz w:val="22"/>
              </w:rPr>
              <w:t>-0.0%</w:t>
            </w:r>
          </w:p>
        </w:tc>
        <w:tc>
          <w:tcPr>
            <w:tcW w:type="dxa" w:w="1080"/>
          </w:tcPr>
          <w:p>
            <w:r>
              <w:rPr>
                <w:rFonts w:ascii="Calibri" w:hAnsi="Calibri"/>
                <w:sz w:val="22"/>
              </w:rPr>
              <w:t>$3.00–$3.10 ($3.05 mid)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+0.9% above mid</w:t>
            </w:r>
          </w:p>
        </w:tc>
      </w:tr>
      <w:tr>
        <w:tc>
          <w:tcPr>
            <w:tcW w:type="dxa" w:w="1080"/>
          </w:tcPr>
          <w:p>
            <w:r>
              <w:rPr>
                <w:rFonts w:ascii="Calibri" w:hAnsi="Calibri"/>
                <w:sz w:val="22"/>
              </w:rPr>
              <w:t>Net Sales — Q2 2026</w:t>
            </w:r>
          </w:p>
        </w:tc>
        <w:tc>
          <w:tcPr>
            <w:tcW w:type="dxa" w:w="1080"/>
          </w:tcPr>
          <w:p>
            <w:r>
              <w:rPr>
                <w:rFonts w:ascii="Calibri" w:hAnsi="Calibri"/>
                <w:sz w:val="22"/>
              </w:rPr>
              <w:t>$8.181B</w:t>
            </w:r>
          </w:p>
        </w:tc>
        <w:tc>
          <w:tcPr>
            <w:tcW w:type="dxa" w:w="1080"/>
          </w:tcPr>
          <w:p>
            <w:r>
              <w:rPr>
                <w:rFonts w:ascii="Calibri" w:hAnsi="Calibri"/>
                <w:sz w:val="22"/>
              </w:rPr>
              <w:t>$8.177B</w:t>
            </w:r>
          </w:p>
        </w:tc>
        <w:tc>
          <w:tcPr>
            <w:tcW w:type="dxa" w:w="1080"/>
          </w:tcPr>
          <w:p>
            <w:r>
              <w:rPr>
                <w:rFonts w:ascii="Calibri" w:hAnsi="Calibri"/>
                <w:sz w:val="22"/>
              </w:rPr>
              <w:t>-0.0%</w:t>
            </w:r>
          </w:p>
        </w:tc>
        <w:tc>
          <w:tcPr>
            <w:tcW w:type="dxa" w:w="1080"/>
          </w:tcPr>
          <w:p>
            <w:r>
              <w:rPr>
                <w:rFonts w:ascii="Calibri" w:hAnsi="Calibri"/>
                <w:sz w:val="22"/>
              </w:rPr>
              <w:t>Organic 9–11%</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Tracking midpoint</w:t>
            </w:r>
          </w:p>
        </w:tc>
      </w:tr>
      <w:tr>
        <w:tc>
          <w:tcPr>
            <w:tcW w:type="dxa" w:w="1080"/>
          </w:tcPr>
          <w:p>
            <w:r>
              <w:rPr>
                <w:rFonts w:ascii="Calibri" w:hAnsi="Calibri"/>
                <w:sz w:val="22"/>
              </w:rPr>
              <w:t>Elec. Americas Sales — Q2 2026</w:t>
            </w:r>
          </w:p>
        </w:tc>
        <w:tc>
          <w:tcPr>
            <w:tcW w:type="dxa" w:w="1080"/>
          </w:tcPr>
          <w:p>
            <w:r>
              <w:rPr>
                <w:rFonts w:ascii="Calibri" w:hAnsi="Calibri"/>
                <w:sz w:val="22"/>
              </w:rPr>
              <w:t>$3.821B</w:t>
            </w:r>
          </w:p>
        </w:tc>
        <w:tc>
          <w:tcPr>
            <w:tcW w:type="dxa" w:w="1080"/>
          </w:tcPr>
          <w:p>
            <w:r>
              <w:rPr>
                <w:rFonts w:ascii="Calibri" w:hAnsi="Calibri"/>
                <w:sz w:val="22"/>
              </w:rPr>
              <w:t>$3.820B</w:t>
            </w:r>
          </w:p>
        </w:tc>
        <w:tc>
          <w:tcPr>
            <w:tcW w:type="dxa" w:w="1080"/>
          </w:tcPr>
          <w:p>
            <w:r>
              <w:rPr>
                <w:rFonts w:ascii="Calibri" w:hAnsi="Calibri"/>
                <w:sz w:val="22"/>
              </w:rPr>
              <w:t>-0.0%</w:t>
            </w:r>
          </w:p>
        </w:tc>
        <w:tc>
          <w:tcPr>
            <w:tcW w:type="dxa" w:w="1080"/>
          </w:tcPr>
          <w:p>
            <w:r>
              <w:rPr>
                <w:rFonts w:ascii="Calibri" w:hAnsi="Calibri"/>
                <w:sz w:val="22"/>
              </w:rPr>
              <w:t>N/A (organic guide)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Elec. Americas Op. Margin — Q2 2026</w:t>
            </w:r>
          </w:p>
        </w:tc>
        <w:tc>
          <w:tcPr>
            <w:tcW w:type="dxa" w:w="1080"/>
          </w:tcPr>
          <w:p>
            <w:r>
              <w:rPr>
                <w:rFonts w:ascii="Calibri" w:hAnsi="Calibri"/>
                <w:sz w:val="22"/>
              </w:rPr>
              <w:t>26.90%</w:t>
            </w:r>
          </w:p>
        </w:tc>
        <w:tc>
          <w:tcPr>
            <w:tcW w:type="dxa" w:w="1080"/>
          </w:tcPr>
          <w:p>
            <w:r>
              <w:rPr>
                <w:rFonts w:ascii="Calibri" w:hAnsi="Calibri"/>
                <w:sz w:val="22"/>
              </w:rPr>
              <w:t>26.94%</w:t>
            </w:r>
          </w:p>
        </w:tc>
        <w:tc>
          <w:tcPr>
            <w:tcW w:type="dxa" w:w="1080"/>
          </w:tcPr>
          <w:p>
            <w:r>
              <w:rPr>
                <w:rFonts w:ascii="Calibri" w:hAnsi="Calibri"/>
                <w:sz w:val="22"/>
              </w:rPr>
              <w:t>+0.0%</w:t>
            </w:r>
          </w:p>
        </w:tc>
        <w:tc>
          <w:tcPr>
            <w:tcW w:type="dxa" w:w="1080"/>
          </w:tcPr>
          <w:p>
            <w:r>
              <w:rPr>
                <w:rFonts w:ascii="Calibri" w:hAnsi="Calibri"/>
                <w:sz w:val="22"/>
              </w:rPr>
              <w:t>+150 bps seq. recovery guided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~+130 bps vs. Q1 actual</w:t>
            </w:r>
          </w:p>
        </w:tc>
      </w:tr>
      <w:tr>
        <w:tc>
          <w:tcPr>
            <w:tcW w:type="dxa" w:w="1080"/>
          </w:tcPr>
          <w:p>
            <w:r>
              <w:rPr>
                <w:rFonts w:ascii="Calibri" w:hAnsi="Calibri"/>
                <w:sz w:val="22"/>
              </w:rPr>
              <w:t>Adj. EPS — FY2026</w:t>
            </w:r>
          </w:p>
        </w:tc>
        <w:tc>
          <w:tcPr>
            <w:tcW w:type="dxa" w:w="1080"/>
          </w:tcPr>
          <w:p>
            <w:r>
              <w:rPr>
                <w:rFonts w:ascii="Calibri" w:hAnsi="Calibri"/>
                <w:sz w:val="22"/>
              </w:rPr>
              <w:t>$13.355</w:t>
            </w:r>
          </w:p>
        </w:tc>
        <w:tc>
          <w:tcPr>
            <w:tcW w:type="dxa" w:w="1080"/>
          </w:tcPr>
          <w:p>
            <w:r>
              <w:rPr>
                <w:rFonts w:ascii="Calibri" w:hAnsi="Calibri"/>
                <w:sz w:val="22"/>
              </w:rPr>
              <w:t>$13.349</w:t>
            </w:r>
          </w:p>
        </w:tc>
        <w:tc>
          <w:tcPr>
            <w:tcW w:type="dxa" w:w="1080"/>
          </w:tcPr>
          <w:p>
            <w:r>
              <w:rPr>
                <w:rFonts w:ascii="Calibri" w:hAnsi="Calibri"/>
                <w:sz w:val="22"/>
              </w:rPr>
              <w:t>-0.0%</w:t>
            </w:r>
          </w:p>
        </w:tc>
        <w:tc>
          <w:tcPr>
            <w:tcW w:type="dxa" w:w="1080"/>
          </w:tcPr>
          <w:p>
            <w:r>
              <w:rPr>
                <w:rFonts w:ascii="Calibri" w:hAnsi="Calibri"/>
                <w:sz w:val="22"/>
              </w:rPr>
              <w:t>$13.05–$13.50 ($13.28 mid)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+0.5% above mid</w:t>
            </w:r>
          </w:p>
        </w:tc>
      </w:tr>
      <w:tr>
        <w:tc>
          <w:tcPr>
            <w:tcW w:type="dxa" w:w="1080"/>
          </w:tcPr>
          <w:p>
            <w:r>
              <w:rPr>
                <w:rFonts w:ascii="Calibri" w:hAnsi="Calibri"/>
                <w:sz w:val="22"/>
              </w:rPr>
              <w:t>Net Sales — FY2026</w:t>
            </w:r>
          </w:p>
        </w:tc>
        <w:tc>
          <w:tcPr>
            <w:tcW w:type="dxa" w:w="1080"/>
          </w:tcPr>
          <w:p>
            <w:r>
              <w:rPr>
                <w:rFonts w:ascii="Calibri" w:hAnsi="Calibri"/>
                <w:sz w:val="22"/>
              </w:rPr>
              <w:t>$32.123B</w:t>
            </w:r>
          </w:p>
        </w:tc>
        <w:tc>
          <w:tcPr>
            <w:tcW w:type="dxa" w:w="1080"/>
          </w:tcPr>
          <w:p>
            <w:r>
              <w:rPr>
                <w:rFonts w:ascii="Calibri" w:hAnsi="Calibri"/>
                <w:sz w:val="22"/>
              </w:rPr>
              <w:t>$32.120B</w:t>
            </w:r>
          </w:p>
        </w:tc>
        <w:tc>
          <w:tcPr>
            <w:tcW w:type="dxa" w:w="1080"/>
          </w:tcPr>
          <w:p>
            <w:r>
              <w:rPr>
                <w:rFonts w:ascii="Calibri" w:hAnsi="Calibri"/>
                <w:sz w:val="22"/>
              </w:rPr>
              <w:t>-0.0%</w:t>
            </w:r>
          </w:p>
        </w:tc>
        <w:tc>
          <w:tcPr>
            <w:tcW w:type="dxa" w:w="1080"/>
          </w:tcPr>
          <w:p>
            <w:r>
              <w:rPr>
                <w:rFonts w:ascii="Calibri" w:hAnsi="Calibri"/>
                <w:sz w:val="22"/>
              </w:rPr>
              <w:t>Organic 9–11%</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Tracking midpoint</w:t>
            </w:r>
          </w:p>
        </w:tc>
      </w:tr>
      <w:tr>
        <w:tc>
          <w:tcPr>
            <w:tcW w:type="dxa" w:w="1080"/>
          </w:tcPr>
          <w:p>
            <w:r>
              <w:rPr>
                <w:rFonts w:ascii="Calibri" w:hAnsi="Calibri"/>
                <w:sz w:val="22"/>
              </w:rPr>
              <w:t>Free Cash Flow — FY2026</w:t>
            </w:r>
          </w:p>
        </w:tc>
        <w:tc>
          <w:tcPr>
            <w:tcW w:type="dxa" w:w="1080"/>
          </w:tcPr>
          <w:p>
            <w:r>
              <w:rPr>
                <w:rFonts w:ascii="Calibri" w:hAnsi="Calibri"/>
                <w:sz w:val="22"/>
              </w:rPr>
              <w:t>$3.926B</w:t>
            </w:r>
          </w:p>
        </w:tc>
        <w:tc>
          <w:tcPr>
            <w:tcW w:type="dxa" w:w="1080"/>
          </w:tcPr>
          <w:p>
            <w:r>
              <w:rPr>
                <w:rFonts w:ascii="Calibri" w:hAnsi="Calibri"/>
                <w:sz w:val="22"/>
              </w:rPr>
              <w:t>$3.923B</w:t>
            </w:r>
          </w:p>
        </w:tc>
        <w:tc>
          <w:tcPr>
            <w:tcW w:type="dxa" w:w="1080"/>
          </w:tcPr>
          <w:p>
            <w:r>
              <w:rPr>
                <w:rFonts w:ascii="Calibri" w:hAnsi="Calibri"/>
                <w:sz w:val="22"/>
              </w:rPr>
              <w:t>-0.1%</w:t>
            </w:r>
          </w:p>
        </w:tc>
        <w:tc>
          <w:tcPr>
            <w:tcW w:type="dxa" w:w="1080"/>
          </w:tcPr>
          <w:p>
            <w:r>
              <w:rPr>
                <w:rFonts w:ascii="Calibri" w:hAnsi="Calibri"/>
                <w:sz w:val="22"/>
              </w:rPr>
              <w:t>$3.9B–$4.3B ($4.1B mid)</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-4.3% below mid</w:t>
            </w:r>
          </w:p>
        </w:tc>
      </w:tr>
    </w:tbl>
    <w:p>
      <w:r>
        <w:rPr>
          <w:rFonts w:ascii="Calibri" w:hAnsi="Calibri"/>
          <w:color w:val="525866"/>
          <w:sz w:val="22"/>
        </w:rPr>
        <w:t>Estimates have been remarkably stable since the Q1 print, with essentially zero revision in either direction across all key KPIs. This stability reflects the Street’s acceptance of management’s guidance framework and confidence in the margin recovery narrative — but it also means there is limited cushion if Q2 margins disappoint again.</w:t>
      </w:r>
    </w:p>
    <w:p>
      <w:r>
        <w:rPr>
          <w:rFonts w:ascii="Calibri" w:hAnsi="Calibri"/>
          <w:color w:val="525866"/>
          <w:sz w:val="22"/>
        </w:rPr>
        <w:t>Source: Visible Alpha Consensus and Actuals Data. Post-Q1 baseline as of May 12, 2026 (5 trading days after May 5 earnings).</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ETN has underperformed XLI by ~10% and SPY by ~6% since the Q1 print, driven almost entirely by multiple compression (NTM P/E contracted from ~31x to ~27x) rather than estimate cuts — suggesting the market is discounting the margin recovery story, not the growth story. A clean Q2 print could close the gap.</w:t>
      </w:r>
    </w:p>
    <w:p>
      <w:r>
        <w:rPr>
          <w:rFonts w:ascii="Calibri" w:hAnsi="Calibri"/>
          <w:color w:val="525866"/>
          <w:sz w:val="22"/>
        </w:rPr>
        <w:t>The chart below shows ETN, XLI (SPDR Industrials ETF), and SPY (S&amp;P 500 ETF) indexed to 100 at the Q1 2026 earnings date (May 5, 2026). XLI is the appropriate sector benchmark given ETN’s classification as an industrial conglomerate with primary exposure to electrical equipment and power management.</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Metric</w:t>
            </w:r>
          </w:p>
        </w:tc>
        <w:tc>
          <w:tcPr>
            <w:tcW w:type="dxa" w:w="2160"/>
            <w:shd w:val="clear" w:color="auto" w:fill="3B4259"/>
          </w:tcPr>
          <w:p>
            <w:r>
              <w:rPr>
                <w:rFonts w:ascii="Calibri" w:hAnsi="Calibri"/>
                <w:b/>
                <w:color w:val="FFFFFF"/>
                <w:sz w:val="22"/>
              </w:rPr>
              <w:t>ETN</w:t>
            </w:r>
          </w:p>
        </w:tc>
        <w:tc>
          <w:tcPr>
            <w:tcW w:type="dxa" w:w="2160"/>
            <w:shd w:val="clear" w:color="auto" w:fill="3B4259"/>
          </w:tcPr>
          <w:p>
            <w:r>
              <w:rPr>
                <w:rFonts w:ascii="Calibri" w:hAnsi="Calibri"/>
                <w:b/>
                <w:color w:val="FFFFFF"/>
                <w:sz w:val="22"/>
              </w:rPr>
              <w:t>XLI</w:t>
            </w:r>
          </w:p>
        </w:tc>
        <w:tc>
          <w:tcPr>
            <w:tcW w:type="dxa" w:w="2160"/>
            <w:shd w:val="clear" w:color="auto" w:fill="3B4259"/>
          </w:tcPr>
          <w:p>
            <w:r>
              <w:rPr>
                <w:rFonts w:ascii="Calibri" w:hAnsi="Calibri"/>
                <w:b/>
                <w:color w:val="FFFFFF"/>
                <w:sz w:val="22"/>
              </w:rPr>
              <w:t>SPY</w:t>
            </w:r>
          </w:p>
        </w:tc>
      </w:tr>
      <w:tr>
        <w:tc>
          <w:tcPr>
            <w:tcW w:type="dxa" w:w="2160"/>
          </w:tcPr>
          <w:p>
            <w:r>
              <w:rPr>
                <w:rFonts w:ascii="Calibri" w:hAnsi="Calibri"/>
                <w:sz w:val="22"/>
              </w:rPr>
              <w:t>Price at Q1 Earnings (May 5, 2026)</w:t>
            </w:r>
          </w:p>
        </w:tc>
        <w:tc>
          <w:tcPr>
            <w:tcW w:type="dxa" w:w="2160"/>
          </w:tcPr>
          <w:p>
            <w:r>
              <w:rPr>
                <w:rFonts w:ascii="Calibri" w:hAnsi="Calibri"/>
                <w:sz w:val="22"/>
              </w:rPr>
              <w:t>$410.86</w:t>
            </w:r>
          </w:p>
        </w:tc>
        <w:tc>
          <w:tcPr>
            <w:tcW w:type="dxa" w:w="2160"/>
          </w:tcPr>
          <w:p>
            <w:r>
              <w:rPr>
                <w:rFonts w:ascii="Calibri" w:hAnsi="Calibri"/>
                <w:sz w:val="22"/>
              </w:rPr>
              <w:t>$172.41</w:t>
            </w:r>
          </w:p>
        </w:tc>
        <w:tc>
          <w:tcPr>
            <w:tcW w:type="dxa" w:w="2160"/>
          </w:tcPr>
          <w:p>
            <w:r>
              <w:rPr>
                <w:rFonts w:ascii="Calibri" w:hAnsi="Calibri"/>
                <w:sz w:val="22"/>
              </w:rPr>
              <w:t>$723.77</w:t>
            </w:r>
          </w:p>
        </w:tc>
      </w:tr>
      <w:tr>
        <w:tc>
          <w:tcPr>
            <w:tcW w:type="dxa" w:w="2160"/>
          </w:tcPr>
          <w:p>
            <w:r>
              <w:rPr>
                <w:rFonts w:ascii="Calibri" w:hAnsi="Calibri"/>
                <w:sz w:val="22"/>
              </w:rPr>
              <w:t>Price as of July 29, 2026 (last close)</w:t>
            </w:r>
          </w:p>
        </w:tc>
        <w:tc>
          <w:tcPr>
            <w:tcW w:type="dxa" w:w="2160"/>
          </w:tcPr>
          <w:p>
            <w:r>
              <w:rPr>
                <w:rFonts w:ascii="Calibri" w:hAnsi="Calibri"/>
                <w:sz w:val="22"/>
              </w:rPr>
              <w:t>$361.88</w:t>
            </w:r>
          </w:p>
        </w:tc>
        <w:tc>
          <w:tcPr>
            <w:tcW w:type="dxa" w:w="2160"/>
          </w:tcPr>
          <w:p>
            <w:r>
              <w:rPr>
                <w:rFonts w:ascii="Calibri" w:hAnsi="Calibri"/>
                <w:sz w:val="22"/>
              </w:rPr>
              <w:t>$176.66</w:t>
            </w:r>
          </w:p>
        </w:tc>
        <w:tc>
          <w:tcPr>
            <w:tcW w:type="dxa" w:w="2160"/>
          </w:tcPr>
          <w:p>
            <w:r>
              <w:rPr>
                <w:rFonts w:ascii="Calibri" w:hAnsi="Calibri"/>
                <w:sz w:val="22"/>
              </w:rPr>
              <w:t>$729.46</w:t>
            </w:r>
          </w:p>
        </w:tc>
      </w:tr>
      <w:tr>
        <w:tc>
          <w:tcPr>
            <w:tcW w:type="dxa" w:w="2160"/>
          </w:tcPr>
          <w:p>
            <w:r>
              <w:rPr>
                <w:rFonts w:ascii="Calibri" w:hAnsi="Calibri"/>
                <w:sz w:val="22"/>
              </w:rPr>
              <w:t>Return Since Q1 Earnings</w:t>
            </w:r>
          </w:p>
        </w:tc>
        <w:tc>
          <w:tcPr>
            <w:tcW w:type="dxa" w:w="2160"/>
          </w:tcPr>
          <w:p>
            <w:r>
              <w:rPr>
                <w:rFonts w:ascii="Calibri" w:hAnsi="Calibri"/>
                <w:b/>
                <w:color w:val="E5484D"/>
                <w:sz w:val="22"/>
              </w:rPr>
              <w:t>-11.9%</w:t>
            </w:r>
          </w:p>
        </w:tc>
        <w:tc>
          <w:tcPr>
            <w:tcW w:type="dxa" w:w="2160"/>
          </w:tcPr>
          <w:p>
            <w:r>
              <w:rPr>
                <w:rFonts w:ascii="Calibri" w:hAnsi="Calibri"/>
                <w:b/>
                <w:color w:val="30A46C"/>
                <w:sz w:val="22"/>
              </w:rPr>
              <w:t>+2.5%</w:t>
            </w:r>
          </w:p>
        </w:tc>
        <w:tc>
          <w:tcPr>
            <w:tcW w:type="dxa" w:w="2160"/>
          </w:tcPr>
          <w:p>
            <w:r>
              <w:rPr>
                <w:rFonts w:ascii="Calibri" w:hAnsi="Calibri"/>
                <w:b/>
                <w:color w:val="30A46C"/>
                <w:sz w:val="22"/>
              </w:rPr>
              <w:t>+0.8%</w:t>
            </w:r>
          </w:p>
        </w:tc>
      </w:tr>
      <w:tr>
        <w:tc>
          <w:tcPr>
            <w:tcW w:type="dxa" w:w="2160"/>
          </w:tcPr>
          <w:p>
            <w:r>
              <w:rPr>
                <w:rFonts w:ascii="Calibri" w:hAnsi="Calibri"/>
                <w:sz w:val="22"/>
              </w:rPr>
              <w:t>NTM P/E (Current)</w:t>
            </w:r>
          </w:p>
        </w:tc>
        <w:tc>
          <w:tcPr>
            <w:tcW w:type="dxa" w:w="2160"/>
          </w:tcPr>
          <w:p>
            <w:r>
              <w:rPr>
                <w:rFonts w:ascii="Calibri" w:hAnsi="Calibri"/>
                <w:sz w:val="22"/>
              </w:rPr>
              <w:t>~27.0x</w:t>
            </w:r>
          </w:p>
        </w:tc>
        <w:tc>
          <w:tcPr>
            <w:tcW w:type="dxa" w:w="2160"/>
          </w:tcPr>
          <w:p>
            <w:r>
              <w:rPr>
                <w:rFonts w:ascii="Calibri" w:hAnsi="Calibri"/>
                <w:sz w:val="22"/>
              </w:rPr>
              <w:t>N/A</w:t>
            </w:r>
          </w:p>
        </w:tc>
        <w:tc>
          <w:tcPr>
            <w:tcW w:type="dxa" w:w="2160"/>
          </w:tcPr>
          <w:p>
            <w:r>
              <w:rPr>
                <w:rFonts w:ascii="Calibri" w:hAnsi="Calibri"/>
                <w:sz w:val="22"/>
              </w:rPr>
              <w:t>N/A</w:t>
            </w:r>
          </w:p>
        </w:tc>
      </w:tr>
      <w:tr>
        <w:tc>
          <w:tcPr>
            <w:tcW w:type="dxa" w:w="2160"/>
          </w:tcPr>
          <w:p>
            <w:r>
              <w:rPr>
                <w:rFonts w:ascii="Calibri" w:hAnsi="Calibri"/>
                <w:sz w:val="22"/>
              </w:rPr>
              <w:t>NTM EV/EBITDA (Current)</w:t>
            </w:r>
          </w:p>
        </w:tc>
        <w:tc>
          <w:tcPr>
            <w:tcW w:type="dxa" w:w="2160"/>
          </w:tcPr>
          <w:p>
            <w:r>
              <w:rPr>
                <w:rFonts w:ascii="Calibri" w:hAnsi="Calibri"/>
                <w:sz w:val="22"/>
              </w:rPr>
              <w:t>~20.2x</w:t>
            </w:r>
          </w:p>
        </w:tc>
        <w:tc>
          <w:tcPr>
            <w:tcW w:type="dxa" w:w="2160"/>
          </w:tcPr>
          <w:p>
            <w:r>
              <w:rPr>
                <w:rFonts w:ascii="Calibri" w:hAnsi="Calibri"/>
                <w:sz w:val="22"/>
              </w:rPr>
              <w:t>N/A</w:t>
            </w:r>
          </w:p>
        </w:tc>
        <w:tc>
          <w:tcPr>
            <w:tcW w:type="dxa" w:w="2160"/>
          </w:tcPr>
          <w:p>
            <w:r>
              <w:rPr>
                <w:rFonts w:ascii="Calibri" w:hAnsi="Calibri"/>
                <w:sz w:val="22"/>
              </w:rPr>
              <w:t>N/A</w:t>
            </w:r>
          </w:p>
        </w:tc>
      </w:tr>
      <w:tr>
        <w:tc>
          <w:tcPr>
            <w:tcW w:type="dxa" w:w="2160"/>
          </w:tcPr>
          <w:p>
            <w:r>
              <w:rPr>
                <w:rFonts w:ascii="Calibri" w:hAnsi="Calibri"/>
                <w:sz w:val="22"/>
              </w:rPr>
              <w:t>NTM EV/EBITDA (3 months ago)</w:t>
            </w:r>
          </w:p>
        </w:tc>
        <w:tc>
          <w:tcPr>
            <w:tcW w:type="dxa" w:w="2160"/>
          </w:tcPr>
          <w:p>
            <w:r>
              <w:rPr>
                <w:rFonts w:ascii="Calibri" w:hAnsi="Calibri"/>
                <w:sz w:val="22"/>
              </w:rPr>
              <w:t>~22.5x</w:t>
            </w:r>
          </w:p>
        </w:tc>
        <w:tc>
          <w:tcPr>
            <w:tcW w:type="dxa" w:w="2160"/>
          </w:tcPr>
          <w:p>
            <w:r>
              <w:rPr>
                <w:rFonts w:ascii="Calibri" w:hAnsi="Calibri"/>
                <w:sz w:val="22"/>
              </w:rPr>
              <w:t>N/A</w:t>
            </w:r>
          </w:p>
        </w:tc>
        <w:tc>
          <w:tcPr>
            <w:tcW w:type="dxa" w:w="2160"/>
          </w:tcPr>
          <w:p>
            <w:r>
              <w:rPr>
                <w:rFonts w:ascii="Calibri" w:hAnsi="Calibri"/>
                <w:sz w:val="22"/>
              </w:rPr>
              <w:t>N/A</w:t>
            </w:r>
          </w:p>
        </w:tc>
      </w:tr>
    </w:tbl>
    <w:p>
      <w:r>
        <w:rPr>
          <w:rFonts w:ascii="Calibri" w:hAnsi="Calibri"/>
          <w:color w:val="525866"/>
          <w:sz w:val="22"/>
        </w:rPr>
        <w:t>Key Events Since Q1 Earnings (May 5, 2026):</w:t>
      </w:r>
    </w:p>
    <w:p>
      <w:pPr>
        <w:pStyle w:val="ListBullet"/>
        <w:ind w:left="360" w:hanging="360"/>
      </w:pPr>
      <w:r>
        <w:rPr>
          <w:rFonts w:ascii="Calibri" w:hAnsi="Calibri"/>
          <w:b/>
          <w:color w:val="525866"/>
          <w:sz w:val="22"/>
        </w:rPr>
        <w:t>May 5, 2026:</w:t>
      </w:r>
      <w:r>
        <w:rPr>
          <w:rFonts w:ascii="Calibri" w:hAnsi="Calibri"/>
          <w:color w:val="525866"/>
          <w:sz w:val="22"/>
        </w:rPr>
        <w:t xml:space="preserve"> Q1 2026 earnings — beat on EPS and revenue; Electrical Americas margin miss; organic growth guidance raised 200 bps; segment margin guidance lowered 50 bps. Stock opened lower despite beat.</w:t>
      </w:r>
    </w:p>
    <w:p>
      <w:pPr>
        <w:pStyle w:val="ListBullet"/>
        <w:ind w:left="360" w:hanging="360"/>
      </w:pPr>
      <w:r>
        <w:rPr>
          <w:rFonts w:ascii="Calibri" w:hAnsi="Calibri"/>
          <w:b/>
          <w:color w:val="525866"/>
          <w:sz w:val="22"/>
        </w:rPr>
        <w:t>May 18–19, 2026:</w:t>
      </w:r>
      <w:r>
        <w:rPr>
          <w:rFonts w:ascii="Calibri" w:hAnsi="Calibri"/>
          <w:color w:val="525866"/>
          <w:sz w:val="22"/>
        </w:rPr>
        <w:t xml:space="preserve"> ETN declined ~8% over two sessions, likely reflecting continued digestion of the margin guidance reduction and broader sector rotation.</w:t>
      </w:r>
    </w:p>
    <w:p>
      <w:pPr>
        <w:pStyle w:val="ListBullet"/>
        <w:ind w:left="360" w:hanging="360"/>
      </w:pPr>
      <w:r>
        <w:rPr>
          <w:rFonts w:ascii="Calibri" w:hAnsi="Calibri"/>
          <w:b/>
          <w:color w:val="525866"/>
          <w:sz w:val="22"/>
        </w:rPr>
        <w:t>June 22, 2026:</w:t>
      </w:r>
      <w:r>
        <w:rPr>
          <w:rFonts w:ascii="Calibri" w:hAnsi="Calibri"/>
          <w:color w:val="525866"/>
          <w:sz w:val="22"/>
        </w:rPr>
        <w:t xml:space="preserve"> ETN reached a post-earnings high of ~$435.78, recovering on broader industrial sector strength and data center demand optimism.</w:t>
      </w:r>
    </w:p>
    <w:p>
      <w:pPr>
        <w:pStyle w:val="ListBullet"/>
        <w:ind w:left="360" w:hanging="360"/>
      </w:pPr>
      <w:r>
        <w:rPr>
          <w:rFonts w:ascii="Calibri" w:hAnsi="Calibri"/>
          <w:b/>
          <w:color w:val="525866"/>
          <w:sz w:val="22"/>
        </w:rPr>
        <w:t>July 13, 2026:</w:t>
      </w:r>
      <w:r>
        <w:rPr>
          <w:rFonts w:ascii="Calibri" w:hAnsi="Calibri"/>
          <w:color w:val="525866"/>
          <w:sz w:val="22"/>
        </w:rPr>
        <w:t xml:space="preserve"> Eaton announced Q2 2026 earnings date of July 31, 2026.</w:t>
      </w:r>
    </w:p>
    <w:p>
      <w:pPr>
        <w:pStyle w:val="ListBullet"/>
        <w:ind w:left="360" w:hanging="360"/>
      </w:pPr>
      <w:r>
        <w:rPr>
          <w:rFonts w:ascii="Calibri" w:hAnsi="Calibri"/>
          <w:b/>
          <w:color w:val="525866"/>
          <w:sz w:val="22"/>
        </w:rPr>
        <w:t>July 22–29, 2026:</w:t>
      </w:r>
      <w:r>
        <w:rPr>
          <w:rFonts w:ascii="Calibri" w:hAnsi="Calibri"/>
          <w:color w:val="525866"/>
          <w:sz w:val="22"/>
        </w:rPr>
        <w:t xml:space="preserve"> ETN declined sharply from ~$407 to ~$362, underperforming XLI, likely reflecting pre-earnings caution and sector-wide multiple compression following GEV’s earnings disappointment (GEV -6% on July 22).</w:t>
      </w:r>
    </w:p>
    <w:p>
      <w:r>
        <w:rPr>
          <w:rFonts w:ascii="Calibri" w:hAnsi="Calibri"/>
          <w:color w:val="525866"/>
          <w:sz w:val="22"/>
        </w:rPr>
        <w:t>Source: Stock Price Data (Yahoo Finance); ETN stock performance decomposition data.</w:t>
      </w:r>
    </w:p>
    <w:p>
      <w:r>
        <w:br w:type="page"/>
      </w:r>
    </w:p>
    <w:p>
      <w:pPr>
        <w:pStyle w:val="Heading2"/>
      </w:pPr>
      <w:r>
        <w:rPr>
          <w:rFonts w:ascii="Calibri" w:hAnsi="Calibri"/>
          <w:b/>
          <w:color w:val="3B4259"/>
          <w:sz w:val="28"/>
        </w:rPr>
        <w:t>6. Peer Commentaries &amp; Current-Quarter Read-Throughs</w:t>
      </w:r>
    </w:p>
    <w:p>
      <w:r>
        <w:rPr>
          <w:rFonts w:ascii="Calibri" w:hAnsi="Calibri"/>
          <w:b/>
          <w:color w:val="525866"/>
          <w:sz w:val="22"/>
        </w:rPr>
        <w:t xml:space="preserve">Key Takeaway: </w:t>
      </w:r>
      <w:r>
        <w:rPr>
          <w:rFonts w:ascii="Calibri" w:hAnsi="Calibri"/>
          <w:color w:val="525866"/>
          <w:sz w:val="22"/>
        </w:rPr>
        <w:t>Peers reporting Q2 2026 results in the last 10 days paint a consistently bullish picture for data center demand (orders up 40–300% across CARR, TT, HUBB, GEV), with pricing actions broadly offsetting inflation — a strong read-through for ETN’s Q2 revenue and order trajectory. The key divergence is margins: CARR and TT both flagged near-term margin headwinds from mix and tariff timing, which is a cautionary read-through for ETN’s Electrical Americas margin recovery.</w:t>
      </w:r>
    </w:p>
    <w:p>
      <w:r>
        <w:rPr>
          <w:rFonts w:ascii="Calibri" w:hAnsi="Calibri"/>
          <w:b/>
          <w:i/>
          <w:color w:val="525866"/>
          <w:sz w:val="22"/>
        </w:rPr>
        <w:t xml:space="preserve">Methodology note: </w:t>
      </w:r>
      <w:r>
        <w:rPr>
          <w:rFonts w:ascii="Calibri" w:hAnsi="Calibri"/>
          <w:i/>
          <w:color w:val="525866"/>
          <w:sz w:val="22"/>
        </w:rPr>
        <w:t>Only commentary from the last 60 days (since May 30, 2026) that explicitly discusses Q2 2026 results, Q3 2026 outlook, or 2H 2026 forward guidance is included below. Retrospective commentary about prior quarters’ results is excluded. All peers below reported Q2 2026 earnings between July 22–30, 2026.</w:t>
      </w:r>
    </w:p>
    <w:p>
      <w:pPr>
        <w:pStyle w:val="Heading3"/>
      </w:pPr>
      <w:r>
        <w:rPr>
          <w:rFonts w:ascii="Calibri" w:hAnsi="Calibri"/>
          <w:b/>
          <w:color w:val="3B4259"/>
          <w:sz w:val="24"/>
        </w:rPr>
        <w:t>GE Vernova (GEV) — Q2 2026 Earnings (Reported July 22, 2026)</w:t>
      </w:r>
    </w:p>
    <w:p>
      <w:r>
        <w:rPr>
          <w:rFonts w:ascii="Calibri" w:hAnsi="Calibri"/>
          <w:b/>
          <w:color w:val="525866"/>
          <w:sz w:val="22"/>
        </w:rPr>
        <w:t xml:space="preserve">Read-Through Score vs. ETN: </w:t>
      </w:r>
      <w:r>
        <w:rPr>
          <w:rFonts w:ascii="Calibri" w:hAnsi="Calibri"/>
          <w:color w:val="525866"/>
          <w:sz w:val="22"/>
        </w:rPr>
        <w:t>Moderate positive (directional alignment on data center demand; margin divergence is a caveat).</w:t>
      </w:r>
    </w:p>
    <w:p>
      <w:r>
        <w:rPr>
          <w:rFonts w:ascii="Calibri" w:hAnsi="Calibri"/>
          <w:color w:val="525866"/>
          <w:sz w:val="22"/>
        </w:rPr>
        <w:t>Forward-Looking Commentary (Q3 2026 / 2H 2026):</w:t>
      </w:r>
    </w:p>
    <w:p>
      <w:pPr>
        <w:pStyle w:val="ListBullet"/>
        <w:ind w:left="360" w:hanging="360"/>
      </w:pPr>
      <w:r>
        <w:rPr>
          <w:rFonts w:ascii="Calibri" w:hAnsi="Calibri"/>
          <w:b/>
          <w:color w:val="525866"/>
          <w:sz w:val="22"/>
        </w:rPr>
        <w:t>Data center demand accelerating:</w:t>
      </w:r>
      <w:r>
        <w:rPr>
          <w:rFonts w:ascii="Calibri" w:hAnsi="Calibri"/>
          <w:color w:val="525866"/>
          <w:sz w:val="22"/>
        </w:rPr>
        <w:t xml:space="preserve"> GEV booked $2.7B of data center orders in Electrification in Q2, bringing 1H 2026 total to over $5B — more than double full-year 2025. This is a strong read-through for ETN’s data center order trajectory heading into Q2 and Q3.</w:t>
      </w:r>
    </w:p>
    <w:p>
      <w:pPr>
        <w:pStyle w:val="ListBullet"/>
        <w:ind w:left="360" w:hanging="360"/>
      </w:pPr>
      <w:r>
        <w:rPr>
          <w:rFonts w:ascii="Calibri" w:hAnsi="Calibri"/>
          <w:b/>
          <w:color w:val="525866"/>
          <w:sz w:val="22"/>
        </w:rPr>
        <w:t>Revenue guidance raised:</w:t>
      </w:r>
      <w:r>
        <w:rPr>
          <w:rFonts w:ascii="Calibri" w:hAnsi="Calibri"/>
          <w:color w:val="525866"/>
          <w:sz w:val="22"/>
        </w:rPr>
        <w:t xml:space="preserve"> Full-year 2026 revenue guidance raised to $45.5–$46.5B (up $1B), driven by Electrification and Power. Q3 2026 guidance calls for continued YoY revenue growth and EBITDA margin expansion.</w:t>
      </w:r>
    </w:p>
    <w:p>
      <w:pPr>
        <w:pStyle w:val="ListBullet"/>
        <w:ind w:left="360" w:hanging="360"/>
      </w:pPr>
      <w:r>
        <w:rPr>
          <w:rFonts w:ascii="Calibri" w:hAnsi="Calibri"/>
          <w:b/>
          <w:color w:val="525866"/>
          <w:sz w:val="22"/>
        </w:rPr>
        <w:t>Solid-state transformers (SST) timeline:</w:t>
      </w:r>
      <w:r>
        <w:rPr>
          <w:rFonts w:ascii="Calibri" w:hAnsi="Calibri"/>
          <w:color w:val="525866"/>
          <w:sz w:val="22"/>
        </w:rPr>
        <w:t xml:space="preserve"> GEV expects SST orders in 2027 and beyond, with a 5MW prototype being delivered to a hyperscaler in 2H 2026. This aligns with ETN’s own SST commercialization timeline (orders expected 2H 2026, shipments late 2027/early 2028).</w:t>
      </w:r>
    </w:p>
    <w:p>
      <w:pPr>
        <w:pStyle w:val="ListBullet"/>
        <w:ind w:left="360" w:hanging="360"/>
      </w:pPr>
      <w:r>
        <w:rPr>
          <w:rFonts w:ascii="Calibri" w:hAnsi="Calibri"/>
          <w:b/>
          <w:color w:val="525866"/>
          <w:sz w:val="22"/>
        </w:rPr>
        <w:t>Electrification margin expansion:</w:t>
      </w:r>
      <w:r>
        <w:rPr>
          <w:rFonts w:ascii="Calibri" w:hAnsi="Calibri"/>
          <w:color w:val="525866"/>
          <w:sz w:val="22"/>
        </w:rPr>
        <w:t xml:space="preserve"> Q3 2026 Electrification EBITDA margin expected to expand modestly above Q2 2026 levels, driven by volume, productivity, and favorable pricing. Positive read-through for ETN’s Electrical Global segment.</w:t>
      </w:r>
    </w:p>
    <w:p>
      <w:pPr>
        <w:pStyle w:val="ListBullet"/>
        <w:ind w:left="360" w:hanging="360"/>
      </w:pPr>
      <w:r>
        <w:rPr>
          <w:rFonts w:ascii="Calibri" w:hAnsi="Calibri"/>
          <w:b/>
          <w:color w:val="525866"/>
          <w:sz w:val="22"/>
        </w:rPr>
        <w:t>Wind headwind:</w:t>
      </w:r>
      <w:r>
        <w:rPr>
          <w:rFonts w:ascii="Calibri" w:hAnsi="Calibri"/>
          <w:color w:val="525866"/>
          <w:sz w:val="22"/>
        </w:rPr>
        <w:t xml:space="preserve"> Wind EBITDA expected to be approximately breakeven in Q3 2026 due to lower onshore equipment deliveries. Not directly relevant to ETN.</w:t>
      </w:r>
    </w:p>
    <w:p>
      <w:r>
        <w:rPr>
          <w:rFonts w:ascii="Calibri" w:hAnsi="Calibri"/>
          <w:b/>
          <w:color w:val="525866"/>
          <w:sz w:val="22"/>
        </w:rPr>
        <w:t xml:space="preserve">Caveat: </w:t>
      </w:r>
      <w:r>
        <w:rPr>
          <w:rFonts w:ascii="Calibri" w:hAnsi="Calibri"/>
          <w:color w:val="525866"/>
          <w:sz w:val="22"/>
        </w:rPr>
        <w:t>GEV’s stock fell ~6% on earnings day despite strong orders, as EPS missed and near-term margin guidance disappointed. This suggests the market is applying a high bar to power/electrification names heading into ETN’s print — a beat on both revenue and margins may be required to drive a positive stock reaction.</w:t>
      </w:r>
    </w:p>
    <w:p>
      <w:pPr>
        <w:pStyle w:val="Heading3"/>
      </w:pPr>
      <w:r>
        <w:rPr>
          <w:rFonts w:ascii="Calibri" w:hAnsi="Calibri"/>
          <w:b/>
          <w:color w:val="3B4259"/>
          <w:sz w:val="24"/>
        </w:rPr>
        <w:t>Hubbell (HUBB) — Q2 2026 Earnings (Reported July 28, 2026)</w:t>
      </w:r>
    </w:p>
    <w:p>
      <w:r>
        <w:rPr>
          <w:rFonts w:ascii="Calibri" w:hAnsi="Calibri"/>
          <w:b/>
          <w:color w:val="525866"/>
          <w:sz w:val="22"/>
        </w:rPr>
        <w:t xml:space="preserve">Read-Through Score vs. ETN: </w:t>
      </w:r>
      <w:r>
        <w:rPr>
          <w:rFonts w:ascii="Calibri" w:hAnsi="Calibri"/>
          <w:color w:val="525866"/>
          <w:sz w:val="22"/>
        </w:rPr>
        <w:t>Strong positive (most direct read-through given overlapping electrical infrastructure end markets).</w:t>
      </w:r>
    </w:p>
    <w:p>
      <w:r>
        <w:rPr>
          <w:rFonts w:ascii="Calibri" w:hAnsi="Calibri"/>
          <w:color w:val="525866"/>
          <w:sz w:val="22"/>
        </w:rPr>
        <w:t>Forward-Looking Commentary (Q3 2026 / 2H 2026):</w:t>
      </w:r>
    </w:p>
    <w:p>
      <w:pPr>
        <w:pStyle w:val="ListBullet"/>
        <w:ind w:left="360" w:hanging="360"/>
      </w:pPr>
      <w:r>
        <w:rPr>
          <w:rFonts w:ascii="Calibri" w:hAnsi="Calibri"/>
          <w:b/>
          <w:color w:val="525866"/>
          <w:sz w:val="22"/>
        </w:rPr>
        <w:t>Data center sales surging:</w:t>
      </w:r>
      <w:r>
        <w:rPr>
          <w:rFonts w:ascii="Calibri" w:hAnsi="Calibri"/>
          <w:color w:val="525866"/>
          <w:sz w:val="22"/>
        </w:rPr>
        <w:t xml:space="preserve"> HUBB reported data center sales up ~65% in Q2 2026 and raised its full-year data center growth outlook to ~50%. This is the most direct read-through for ETN’s Electrical Americas data center revenue trajectory.</w:t>
      </w:r>
    </w:p>
    <w:p>
      <w:pPr>
        <w:pStyle w:val="ListBullet"/>
        <w:ind w:left="360" w:hanging="360"/>
      </w:pPr>
      <w:r>
        <w:rPr>
          <w:rFonts w:ascii="Calibri" w:hAnsi="Calibri"/>
          <w:b/>
          <w:color w:val="525866"/>
          <w:sz w:val="22"/>
        </w:rPr>
        <w:t>Guidance raised significantly:</w:t>
      </w:r>
      <w:r>
        <w:rPr>
          <w:rFonts w:ascii="Calibri" w:hAnsi="Calibri"/>
          <w:color w:val="525866"/>
          <w:sz w:val="22"/>
        </w:rPr>
        <w:t xml:space="preserve"> Full-year organic growth raised to +9–11% (from +6–9%), adjusted EPS raised to $20.25–$20.55 (from $19.30–$19.85). Electrical Solutions organic growth raised to +12–14%.</w:t>
      </w:r>
    </w:p>
    <w:p>
      <w:pPr>
        <w:pStyle w:val="ListBullet"/>
        <w:ind w:left="360" w:hanging="360"/>
      </w:pPr>
      <w:r>
        <w:rPr>
          <w:rFonts w:ascii="Calibri" w:hAnsi="Calibri"/>
          <w:b/>
          <w:color w:val="525866"/>
          <w:sz w:val="22"/>
        </w:rPr>
        <w:t>Book-to-bill of 1.2x:</w:t>
      </w:r>
      <w:r>
        <w:rPr>
          <w:rFonts w:ascii="Calibri" w:hAnsi="Calibri"/>
          <w:color w:val="525866"/>
          <w:sz w:val="22"/>
        </w:rPr>
        <w:t xml:space="preserve"> 1H 2026 book-to-bill for Utility Solutions was ~1.2x, providing strong visibility into 2H. Orders already being booked into 2027 for longer-cycle transmission and substation products. Directly analogous to ETN’s own 1.2x book-to-bill.</w:t>
      </w:r>
    </w:p>
    <w:p>
      <w:pPr>
        <w:pStyle w:val="ListBullet"/>
        <w:ind w:left="360" w:hanging="360"/>
      </w:pPr>
      <w:r>
        <w:rPr>
          <w:rFonts w:ascii="Calibri" w:hAnsi="Calibri"/>
          <w:b/>
          <w:color w:val="525866"/>
          <w:sz w:val="22"/>
        </w:rPr>
        <w:t>Pricing actions offsetting inflation:</w:t>
      </w:r>
      <w:r>
        <w:rPr>
          <w:rFonts w:ascii="Calibri" w:hAnsi="Calibri"/>
          <w:color w:val="525866"/>
          <w:sz w:val="22"/>
        </w:rPr>
        <w:t xml:space="preserve"> HUBB implemented an April price increase (+~1 pt) and a July price increase (+~0.5 pt), bringing full-year price realization to 3–4 points. This mirrors ETN’s April 1 price increase and supports the margin recovery narrative.</w:t>
      </w:r>
    </w:p>
    <w:p>
      <w:pPr>
        <w:pStyle w:val="ListBullet"/>
        <w:ind w:left="360" w:hanging="360"/>
      </w:pPr>
      <w:r>
        <w:rPr>
          <w:rFonts w:ascii="Calibri" w:hAnsi="Calibri"/>
          <w:b/>
          <w:color w:val="525866"/>
          <w:sz w:val="22"/>
        </w:rPr>
        <w:t>Electrical Solutions margin expansion in 2H:</w:t>
      </w:r>
      <w:r>
        <w:rPr>
          <w:rFonts w:ascii="Calibri" w:hAnsi="Calibri"/>
          <w:color w:val="525866"/>
          <w:sz w:val="22"/>
        </w:rPr>
        <w:t xml:space="preserve"> HUBB expects Electrical Solutions to return to adjusted operating margin expansion in 2H 2026, driven by pricing and productivity. Strong positive read-through for ETN’s Electrical Americas margin recovery.</w:t>
      </w:r>
    </w:p>
    <w:p>
      <w:pPr>
        <w:pStyle w:val="ListBullet"/>
        <w:ind w:left="360" w:hanging="360"/>
      </w:pPr>
      <w:r>
        <w:rPr>
          <w:rFonts w:ascii="Calibri" w:hAnsi="Calibri"/>
          <w:b/>
          <w:color w:val="525866"/>
          <w:sz w:val="22"/>
        </w:rPr>
        <w:t>Tariff refund benefit in Q3:</w:t>
      </w:r>
      <w:r>
        <w:rPr>
          <w:rFonts w:ascii="Calibri" w:hAnsi="Calibri"/>
          <w:color w:val="525866"/>
          <w:sz w:val="22"/>
        </w:rPr>
        <w:t xml:space="preserve"> HUBB expects a ~$20M tariff refund concentrated in Q3, split roughly half/half between Electrical and Utility. This is a HUBB-specific item but signals that tariff dynamics are becoming a tailwind rather than headwind for the sector.</w:t>
      </w:r>
    </w:p>
    <w:p>
      <w:r>
        <w:rPr>
          <w:rFonts w:ascii="Calibri" w:hAnsi="Calibri"/>
          <w:b/>
          <w:color w:val="525866"/>
          <w:sz w:val="22"/>
        </w:rPr>
        <w:t xml:space="preserve">Caveat: </w:t>
      </w:r>
      <w:r>
        <w:rPr>
          <w:rFonts w:ascii="Calibri" w:hAnsi="Calibri"/>
          <w:color w:val="525866"/>
          <w:sz w:val="22"/>
        </w:rPr>
        <w:t>HUBB’s product mix (utility T&amp;D, wiring devices, grid automation) differs from ETN’s (power distribution, UPS, switchgear, liquid cooling). HUBB’s strong results are the most encouraging read-through in the peer set, but ETN’s margin recovery is more dependent on its own capacity ramp execution than on market demand.</w:t>
      </w:r>
    </w:p>
    <w:p>
      <w:pPr>
        <w:pStyle w:val="Heading3"/>
      </w:pPr>
      <w:r>
        <w:rPr>
          <w:rFonts w:ascii="Calibri" w:hAnsi="Calibri"/>
          <w:b/>
          <w:color w:val="3B4259"/>
          <w:sz w:val="24"/>
        </w:rPr>
        <w:t>Carrier Global (CARR) — Q2 2026 Earnings (Reported July 28, 2026)</w:t>
      </w:r>
    </w:p>
    <w:p>
      <w:r>
        <w:rPr>
          <w:rFonts w:ascii="Calibri" w:hAnsi="Calibri"/>
          <w:b/>
          <w:color w:val="525866"/>
          <w:sz w:val="22"/>
        </w:rPr>
        <w:t xml:space="preserve">Read-Through Score vs. ETN: </w:t>
      </w:r>
      <w:r>
        <w:rPr>
          <w:rFonts w:ascii="Calibri" w:hAnsi="Calibri"/>
          <w:color w:val="525866"/>
          <w:sz w:val="22"/>
        </w:rPr>
        <w:t>Positive on demand; cautionary on margins.</w:t>
      </w:r>
    </w:p>
    <w:p>
      <w:r>
        <w:rPr>
          <w:rFonts w:ascii="Calibri" w:hAnsi="Calibri"/>
          <w:color w:val="525866"/>
          <w:sz w:val="22"/>
        </w:rPr>
        <w:t>Forward-Looking Commentary (Q3 2026 / 2H 2026):</w:t>
      </w:r>
    </w:p>
    <w:p>
      <w:pPr>
        <w:pStyle w:val="ListBullet"/>
        <w:ind w:left="360" w:hanging="360"/>
      </w:pPr>
      <w:r>
        <w:rPr>
          <w:rFonts w:ascii="Calibri" w:hAnsi="Calibri"/>
          <w:b/>
          <w:color w:val="525866"/>
          <w:sz w:val="22"/>
        </w:rPr>
        <w:t>Data center orders up 4x YoY:</w:t>
      </w:r>
      <w:r>
        <w:rPr>
          <w:rFonts w:ascii="Calibri" w:hAnsi="Calibri"/>
          <w:color w:val="525866"/>
          <w:sz w:val="22"/>
        </w:rPr>
        <w:t xml:space="preserve"> CARR reported data center orders up 4x in Q2 2026, with total company orders up ~40% and commercial HVAC orders up ~65%. Full-year data center revenue outlook raised to ~$2B (second consecutive year of doubling). Strong read-through for ETN’s data center demand.</w:t>
      </w:r>
    </w:p>
    <w:p>
      <w:pPr>
        <w:pStyle w:val="ListBullet"/>
        <w:ind w:left="360" w:hanging="360"/>
      </w:pPr>
      <w:r>
        <w:rPr>
          <w:rFonts w:ascii="Calibri" w:hAnsi="Calibri"/>
          <w:b/>
          <w:color w:val="525866"/>
          <w:sz w:val="22"/>
        </w:rPr>
        <w:t>2H 2026 data center ramp:</w:t>
      </w:r>
      <w:r>
        <w:rPr>
          <w:rFonts w:ascii="Calibri" w:hAnsi="Calibri"/>
          <w:color w:val="525866"/>
          <w:sz w:val="22"/>
        </w:rPr>
        <w:t xml:space="preserve"> Of CARR’s $2B data center revenue target, only ~$500M was realized in 1H, with ~$1.5B expected in 2H. This implies a significant acceleration in deliveries that is consistent with ETN’s own capacity ramp narrative.</w:t>
      </w:r>
    </w:p>
    <w:p>
      <w:pPr>
        <w:pStyle w:val="ListBullet"/>
        <w:ind w:left="360" w:hanging="360"/>
      </w:pPr>
      <w:r>
        <w:rPr>
          <w:rFonts w:ascii="Calibri" w:hAnsi="Calibri"/>
          <w:b/>
          <w:color w:val="525866"/>
          <w:sz w:val="22"/>
        </w:rPr>
        <w:t>Full-year guidance raised:</w:t>
      </w:r>
      <w:r>
        <w:rPr>
          <w:rFonts w:ascii="Calibri" w:hAnsi="Calibri"/>
          <w:color w:val="525866"/>
          <w:sz w:val="22"/>
        </w:rPr>
        <w:t xml:space="preserve"> Sales raised to ~$23B, adjusted EPS raised to ~$2.90 (from $2.80). Organic growth guided to mid-to-high single digits.</w:t>
      </w:r>
    </w:p>
    <w:p>
      <w:pPr>
        <w:pStyle w:val="ListBullet"/>
        <w:ind w:left="360" w:hanging="360"/>
      </w:pPr>
      <w:r>
        <w:rPr>
          <w:rFonts w:ascii="Calibri" w:hAnsi="Calibri"/>
          <w:b/>
          <w:color w:val="525866"/>
          <w:sz w:val="22"/>
        </w:rPr>
        <w:t>Q3 2026 margin headwind:</w:t>
      </w:r>
      <w:r>
        <w:rPr>
          <w:rFonts w:ascii="Calibri" w:hAnsi="Calibri"/>
          <w:color w:val="525866"/>
          <w:sz w:val="22"/>
        </w:rPr>
        <w:t xml:space="preserve"> Q3 operating margin guided to ~16.5%, down sequentially from Q2’s 17.2%, due to mix shift toward higher commercial/data center sales (lower margin than residential) and tariff-related pricing timing. This is a cautionary read-through — ETN may face similar mix headwinds if data center deliveries accelerate faster than higher-margin product lines.</w:t>
      </w:r>
    </w:p>
    <w:p>
      <w:pPr>
        <w:pStyle w:val="ListBullet"/>
        <w:ind w:left="360" w:hanging="360"/>
      </w:pPr>
      <w:r>
        <w:rPr>
          <w:rFonts w:ascii="Calibri" w:hAnsi="Calibri"/>
          <w:b/>
          <w:color w:val="525866"/>
          <w:sz w:val="22"/>
        </w:rPr>
        <w:t>Pricing vs. tariffs:</w:t>
      </w:r>
      <w:r>
        <w:rPr>
          <w:rFonts w:ascii="Calibri" w:hAnsi="Calibri"/>
          <w:color w:val="525866"/>
          <w:sz w:val="22"/>
        </w:rPr>
        <w:t xml:space="preserve"> Tariffs went into effect in early April but pricing adjustments were implemented at end of April, creating a net negative Q2 impact. Q3 should see this normalize. Relevant to ETN’s April 1 price increase timing.</w:t>
      </w:r>
    </w:p>
    <w:p>
      <w:pPr>
        <w:pStyle w:val="ListBullet"/>
        <w:ind w:left="360" w:hanging="360"/>
      </w:pPr>
      <w:r>
        <w:rPr>
          <w:rFonts w:ascii="Calibri" w:hAnsi="Calibri"/>
          <w:b/>
          <w:color w:val="525866"/>
          <w:sz w:val="22"/>
        </w:rPr>
        <w:t>New U.S. capacity coming online Q1 2027:</w:t>
      </w:r>
      <w:r>
        <w:rPr>
          <w:rFonts w:ascii="Calibri" w:hAnsi="Calibri"/>
          <w:color w:val="525866"/>
          <w:sz w:val="22"/>
        </w:rPr>
        <w:t xml:space="preserve"> CARR is building a new U.S. facility for data center chillers, targeted for Q1 2027 — consistent with the sector-wide capacity expansion theme that ETN is also executing.</w:t>
      </w:r>
    </w:p>
    <w:p>
      <w:r>
        <w:rPr>
          <w:rFonts w:ascii="Calibri" w:hAnsi="Calibri"/>
          <w:b/>
          <w:color w:val="525866"/>
          <w:sz w:val="22"/>
        </w:rPr>
        <w:t xml:space="preserve">Caveat: </w:t>
      </w:r>
      <w:r>
        <w:rPr>
          <w:rFonts w:ascii="Calibri" w:hAnsi="Calibri"/>
          <w:color w:val="525866"/>
          <w:sz w:val="22"/>
        </w:rPr>
        <w:t>CARR’s primary data center exposure is in cooling (chillers, CDUs), which overlaps with ETN’s Boyd Thermal acquisition but not ETN’s core switchgear/UPS/transformer business. CARR’s European margin weakness is not directly relevant to ETN.</w:t>
      </w:r>
    </w:p>
    <w:p>
      <w:pPr>
        <w:pStyle w:val="Heading3"/>
      </w:pPr>
      <w:r>
        <w:rPr>
          <w:rFonts w:ascii="Calibri" w:hAnsi="Calibri"/>
          <w:b/>
          <w:color w:val="3B4259"/>
          <w:sz w:val="24"/>
        </w:rPr>
        <w:t>Trane Technologies (TT) — Q2 2026 Earnings (Reported July 30, 2026)</w:t>
      </w:r>
    </w:p>
    <w:p>
      <w:r>
        <w:rPr>
          <w:rFonts w:ascii="Calibri" w:hAnsi="Calibri"/>
          <w:b/>
          <w:color w:val="525866"/>
          <w:sz w:val="22"/>
        </w:rPr>
        <w:t xml:space="preserve">Read-Through Score vs. ETN: </w:t>
      </w:r>
      <w:r>
        <w:rPr>
          <w:rFonts w:ascii="Calibri" w:hAnsi="Calibri"/>
          <w:color w:val="525866"/>
          <w:sz w:val="22"/>
        </w:rPr>
        <w:t>Positive on demand and bookings; mixed on margins.</w:t>
      </w:r>
    </w:p>
    <w:p>
      <w:r>
        <w:rPr>
          <w:rFonts w:ascii="Calibri" w:hAnsi="Calibri"/>
          <w:color w:val="525866"/>
          <w:sz w:val="22"/>
        </w:rPr>
        <w:t>Forward-Looking Commentary (Q3 2026 / 2H 2026):</w:t>
      </w:r>
    </w:p>
    <w:p>
      <w:pPr>
        <w:pStyle w:val="ListBullet"/>
        <w:ind w:left="360" w:hanging="360"/>
      </w:pPr>
      <w:r>
        <w:rPr>
          <w:rFonts w:ascii="Calibri" w:hAnsi="Calibri"/>
          <w:b/>
          <w:color w:val="525866"/>
          <w:sz w:val="22"/>
        </w:rPr>
        <w:t>Record backlog of $12.1B, up 70% YoY:</w:t>
      </w:r>
      <w:r>
        <w:rPr>
          <w:rFonts w:ascii="Calibri" w:hAnsi="Calibri"/>
          <w:color w:val="525866"/>
          <w:sz w:val="22"/>
        </w:rPr>
        <w:t xml:space="preserve"> TT reported enterprise organic bookings up 37% in Q2, with commercial HVAC bookings up 50% and applied bookings up 130% (fourth consecutive quarter above 100%). Record backlog provides strong visibility for 2H 2026 and 2027. Directly analogous to ETN’s own record backlog and book-to-bill dynamics.</w:t>
      </w:r>
    </w:p>
    <w:p>
      <w:pPr>
        <w:pStyle w:val="ListBullet"/>
        <w:ind w:left="360" w:hanging="360"/>
      </w:pPr>
      <w:r>
        <w:rPr>
          <w:rFonts w:ascii="Calibri" w:hAnsi="Calibri"/>
          <w:b/>
          <w:color w:val="525866"/>
          <w:sz w:val="22"/>
        </w:rPr>
        <w:t>Data center pipeline ‘really, really strong’:</w:t>
      </w:r>
      <w:r>
        <w:rPr>
          <w:rFonts w:ascii="Calibri" w:hAnsi="Calibri"/>
          <w:color w:val="525866"/>
          <w:sz w:val="22"/>
        </w:rPr>
        <w:t xml:space="preserve"> TT booked four orders exceeding $100M in Q2, including one for Stellar (100% data center focused). Applied revenue growth of &gt;40% in Q2 expected to carry into 2H 2026.</w:t>
      </w:r>
    </w:p>
    <w:p>
      <w:pPr>
        <w:pStyle w:val="ListBullet"/>
        <w:ind w:left="360" w:hanging="360"/>
      </w:pPr>
      <w:r>
        <w:rPr>
          <w:rFonts w:ascii="Calibri" w:hAnsi="Calibri"/>
          <w:b/>
          <w:color w:val="525866"/>
          <w:sz w:val="22"/>
        </w:rPr>
        <w:t>Full-year guidance raised:</w:t>
      </w:r>
      <w:r>
        <w:rPr>
          <w:rFonts w:ascii="Calibri" w:hAnsi="Calibri"/>
          <w:color w:val="525866"/>
          <w:sz w:val="22"/>
        </w:rPr>
        <w:t xml:space="preserve"> Organic revenue growth raised to ~9%, adjusted EPS raised to $15.20–$15.30 (from prior guidance). Q3 2026 organic growth guided at ~10%, adjusted EPS ~$4.70.</w:t>
      </w:r>
    </w:p>
    <w:p>
      <w:pPr>
        <w:pStyle w:val="ListBullet"/>
        <w:ind w:left="360" w:hanging="360"/>
      </w:pPr>
      <w:r>
        <w:rPr>
          <w:rFonts w:ascii="Calibri" w:hAnsi="Calibri"/>
          <w:b/>
          <w:color w:val="525866"/>
          <w:sz w:val="22"/>
        </w:rPr>
        <w:t>Margin expansion in 2H:</w:t>
      </w:r>
      <w:r>
        <w:rPr>
          <w:rFonts w:ascii="Calibri" w:hAnsi="Calibri"/>
          <w:color w:val="525866"/>
          <w:sz w:val="22"/>
        </w:rPr>
        <w:t xml:space="preserve"> Q3 2026 margin expansion guided at ~50 bps, accelerating to &gt;100 bps in Q4. Americas segment expected to lead. This is a positive read-through for ETN’s own margin recovery trajectory.</w:t>
      </w:r>
    </w:p>
    <w:p>
      <w:pPr>
        <w:pStyle w:val="ListBullet"/>
        <w:ind w:left="360" w:hanging="360"/>
      </w:pPr>
      <w:r>
        <w:rPr>
          <w:rFonts w:ascii="Calibri" w:hAnsi="Calibri"/>
          <w:b/>
          <w:color w:val="525866"/>
          <w:sz w:val="22"/>
        </w:rPr>
        <w:t>Price vs. inflation headwind persisting:</w:t>
      </w:r>
      <w:r>
        <w:rPr>
          <w:rFonts w:ascii="Calibri" w:hAnsi="Calibri"/>
          <w:color w:val="525866"/>
          <w:sz w:val="22"/>
        </w:rPr>
        <w:t xml:space="preserve"> TT noted price vs. inflation was a headwind in Q2 and expected to remain a headwind in 2H, though sequentially improving. This is a cautionary read-through — ETN’s April price increase may not fully offset input cost inflation in Q2.</w:t>
      </w:r>
    </w:p>
    <w:p>
      <w:pPr>
        <w:pStyle w:val="ListBullet"/>
        <w:ind w:left="360" w:hanging="360"/>
      </w:pPr>
      <w:r>
        <w:rPr>
          <w:rFonts w:ascii="Calibri" w:hAnsi="Calibri"/>
          <w:b/>
          <w:color w:val="525866"/>
          <w:sz w:val="22"/>
        </w:rPr>
        <w:t>EMEA headwind from Middle East conflict:</w:t>
      </w:r>
      <w:r>
        <w:rPr>
          <w:rFonts w:ascii="Calibri" w:hAnsi="Calibri"/>
          <w:color w:val="525866"/>
          <w:sz w:val="22"/>
        </w:rPr>
        <w:t xml:space="preserve"> TT guided EMEA revenues down ~30% in 2H due to Middle East conflict. Not directly relevant to ETN’s Electrical Global segment, which has different geographic exposure.</w:t>
      </w:r>
    </w:p>
    <w:p>
      <w:r>
        <w:rPr>
          <w:rFonts w:ascii="Calibri" w:hAnsi="Calibri"/>
          <w:b/>
          <w:color w:val="525866"/>
          <w:sz w:val="22"/>
        </w:rPr>
        <w:t xml:space="preserve">Caveat: </w:t>
      </w:r>
      <w:r>
        <w:rPr>
          <w:rFonts w:ascii="Calibri" w:hAnsi="Calibri"/>
          <w:color w:val="525866"/>
          <w:sz w:val="22"/>
        </w:rPr>
        <w:t>TT’s primary business is HVAC (heating, ventilation, air conditioning), which overlaps with ETN’s data center thermal management exposure (via Boyd Thermal) but not ETN’s core electrical distribution and power quality business. TT’s EMEA headwind is specific to its geographic mix.</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Data Center Demand Signal</w:t>
            </w:r>
          </w:p>
        </w:tc>
        <w:tc>
          <w:tcPr>
            <w:tcW w:type="dxa" w:w="1728"/>
            <w:shd w:val="clear" w:color="auto" w:fill="3B4259"/>
          </w:tcPr>
          <w:p>
            <w:r>
              <w:rPr>
                <w:rFonts w:ascii="Calibri" w:hAnsi="Calibri"/>
                <w:b/>
                <w:color w:val="FFFFFF"/>
                <w:sz w:val="22"/>
              </w:rPr>
              <w:t>Pricing / Margin Signal</w:t>
            </w:r>
          </w:p>
        </w:tc>
        <w:tc>
          <w:tcPr>
            <w:tcW w:type="dxa" w:w="1728"/>
            <w:shd w:val="clear" w:color="auto" w:fill="3B4259"/>
          </w:tcPr>
          <w:p>
            <w:r>
              <w:rPr>
                <w:rFonts w:ascii="Calibri" w:hAnsi="Calibri"/>
                <w:b/>
                <w:color w:val="FFFFFF"/>
                <w:sz w:val="22"/>
              </w:rPr>
              <w:t>Guidance Direction</w:t>
            </w:r>
          </w:p>
        </w:tc>
        <w:tc>
          <w:tcPr>
            <w:tcW w:type="dxa" w:w="1728"/>
            <w:shd w:val="clear" w:color="auto" w:fill="3B4259"/>
          </w:tcPr>
          <w:p>
            <w:r>
              <w:rPr>
                <w:rFonts w:ascii="Calibri" w:hAnsi="Calibri"/>
                <w:b/>
                <w:color w:val="FFFFFF"/>
                <w:sz w:val="22"/>
              </w:rPr>
              <w:t>ETN Read-Through</w:t>
            </w:r>
          </w:p>
        </w:tc>
      </w:tr>
      <w:tr>
        <w:tc>
          <w:tcPr>
            <w:tcW w:type="dxa" w:w="1728"/>
          </w:tcPr>
          <w:p>
            <w:r>
              <w:rPr>
                <w:rFonts w:ascii="Calibri" w:hAnsi="Calibri"/>
                <w:sz w:val="22"/>
              </w:rPr>
              <w:t>GEV (July 22)</w:t>
            </w:r>
          </w:p>
        </w:tc>
        <w:tc>
          <w:tcPr>
            <w:tcW w:type="dxa" w:w="1728"/>
          </w:tcPr>
          <w:p>
            <w:r>
              <w:rPr>
                <w:rFonts w:ascii="Calibri" w:hAnsi="Calibri"/>
                <w:b/>
                <w:color w:val="30A46C"/>
                <w:sz w:val="22"/>
              </w:rPr>
              <w:t>Very Bullish — $5B+ data center orders in 1H, 2x full-year 2025</w:t>
            </w:r>
          </w:p>
        </w:tc>
        <w:tc>
          <w:tcPr>
            <w:tcW w:type="dxa" w:w="1728"/>
          </w:tcPr>
          <w:p>
            <w:r>
              <w:rPr>
                <w:rFonts w:ascii="Calibri" w:hAnsi="Calibri"/>
                <w:sz w:val="22"/>
              </w:rPr>
              <w:t>Mixed — EPS missed; Electrification margins expanding</w:t>
            </w:r>
          </w:p>
        </w:tc>
        <w:tc>
          <w:tcPr>
            <w:tcW w:type="dxa" w:w="1728"/>
          </w:tcPr>
          <w:p>
            <w:r>
              <w:rPr>
                <w:rFonts w:ascii="Calibri" w:hAnsi="Calibri"/>
                <w:sz w:val="22"/>
              </w:rPr>
              <w:t>↑ Revenue raised $1B; FCF raised significantly</w:t>
            </w:r>
          </w:p>
        </w:tc>
        <w:tc>
          <w:tcPr>
            <w:tcW w:type="dxa" w:w="1728"/>
          </w:tcPr>
          <w:p>
            <w:r>
              <w:rPr>
                <w:rFonts w:ascii="Calibri" w:hAnsi="Calibri"/>
                <w:sz w:val="22"/>
              </w:rPr>
              <w:t>Positive on demand; cautionary on market reaction to margin misses</w:t>
            </w:r>
          </w:p>
        </w:tc>
      </w:tr>
      <w:tr>
        <w:tc>
          <w:tcPr>
            <w:tcW w:type="dxa" w:w="1728"/>
          </w:tcPr>
          <w:p>
            <w:r>
              <w:rPr>
                <w:rFonts w:ascii="Calibri" w:hAnsi="Calibri"/>
                <w:sz w:val="22"/>
              </w:rPr>
              <w:t>HUBB (July 28)</w:t>
            </w:r>
          </w:p>
        </w:tc>
        <w:tc>
          <w:tcPr>
            <w:tcW w:type="dxa" w:w="1728"/>
          </w:tcPr>
          <w:p>
            <w:r>
              <w:rPr>
                <w:rFonts w:ascii="Calibri" w:hAnsi="Calibri"/>
                <w:b/>
                <w:color w:val="30A46C"/>
                <w:sz w:val="22"/>
              </w:rPr>
              <w:t>Very Bullish — data center sales +65% Q2; full-year +50% outlook</w:t>
            </w:r>
          </w:p>
        </w:tc>
        <w:tc>
          <w:tcPr>
            <w:tcW w:type="dxa" w:w="1728"/>
          </w:tcPr>
          <w:p>
            <w:r>
              <w:rPr>
                <w:rFonts w:ascii="Calibri" w:hAnsi="Calibri"/>
                <w:sz w:val="22"/>
              </w:rPr>
              <w:t>Positive — pricing actions offsetting inflation; Electrical margin expansion in 2H</w:t>
            </w:r>
          </w:p>
        </w:tc>
        <w:tc>
          <w:tcPr>
            <w:tcW w:type="dxa" w:w="1728"/>
          </w:tcPr>
          <w:p>
            <w:r>
              <w:rPr>
                <w:rFonts w:ascii="Calibri" w:hAnsi="Calibri"/>
                <w:sz w:val="22"/>
              </w:rPr>
              <w:t>↑ Organic growth raised to +9–11%; EPS raised ~4%</w:t>
            </w:r>
          </w:p>
        </w:tc>
        <w:tc>
          <w:tcPr>
            <w:tcW w:type="dxa" w:w="1728"/>
          </w:tcPr>
          <w:p>
            <w:r>
              <w:rPr>
                <w:rFonts w:ascii="Calibri" w:hAnsi="Calibri"/>
                <w:sz w:val="22"/>
              </w:rPr>
              <w:t>Strongest positive read-through; most direct overlap with ETN end markets</w:t>
            </w:r>
          </w:p>
        </w:tc>
      </w:tr>
      <w:tr>
        <w:tc>
          <w:tcPr>
            <w:tcW w:type="dxa" w:w="1728"/>
          </w:tcPr>
          <w:p>
            <w:r>
              <w:rPr>
                <w:rFonts w:ascii="Calibri" w:hAnsi="Calibri"/>
                <w:sz w:val="22"/>
              </w:rPr>
              <w:t>CARR (July 28)</w:t>
            </w:r>
          </w:p>
        </w:tc>
        <w:tc>
          <w:tcPr>
            <w:tcW w:type="dxa" w:w="1728"/>
          </w:tcPr>
          <w:p>
            <w:r>
              <w:rPr>
                <w:rFonts w:ascii="Calibri" w:hAnsi="Calibri"/>
                <w:b/>
                <w:color w:val="30A46C"/>
                <w:sz w:val="22"/>
              </w:rPr>
              <w:t>Very Bullish — data center orders up 4x; full-year revenue raised to $2B</w:t>
            </w:r>
          </w:p>
        </w:tc>
        <w:tc>
          <w:tcPr>
            <w:tcW w:type="dxa" w:w="1728"/>
          </w:tcPr>
          <w:p>
            <w:r>
              <w:rPr>
                <w:rFonts w:ascii="Calibri" w:hAnsi="Calibri"/>
                <w:sz w:val="22"/>
              </w:rPr>
              <w:t>Cautionary — Q3 margin guided lower sequentially due to mix; tariff timing headwind</w:t>
            </w:r>
          </w:p>
        </w:tc>
        <w:tc>
          <w:tcPr>
            <w:tcW w:type="dxa" w:w="1728"/>
          </w:tcPr>
          <w:p>
            <w:r>
              <w:rPr>
                <w:rFonts w:ascii="Calibri" w:hAnsi="Calibri"/>
                <w:sz w:val="22"/>
              </w:rPr>
              <w:t>↑ Sales raised to $23B; EPS raised to $2.90</w:t>
            </w:r>
          </w:p>
        </w:tc>
        <w:tc>
          <w:tcPr>
            <w:tcW w:type="dxa" w:w="1728"/>
          </w:tcPr>
          <w:p>
            <w:r>
              <w:rPr>
                <w:rFonts w:ascii="Calibri" w:hAnsi="Calibri"/>
                <w:sz w:val="22"/>
              </w:rPr>
              <w:t>Positive on demand; cautionary on near-term margin mix dynamics</w:t>
            </w:r>
          </w:p>
        </w:tc>
      </w:tr>
      <w:tr>
        <w:tc>
          <w:tcPr>
            <w:tcW w:type="dxa" w:w="1728"/>
          </w:tcPr>
          <w:p>
            <w:r>
              <w:rPr>
                <w:rFonts w:ascii="Calibri" w:hAnsi="Calibri"/>
                <w:sz w:val="22"/>
              </w:rPr>
              <w:t>TT (July 30)</w:t>
            </w:r>
          </w:p>
        </w:tc>
        <w:tc>
          <w:tcPr>
            <w:tcW w:type="dxa" w:w="1728"/>
          </w:tcPr>
          <w:p>
            <w:r>
              <w:rPr>
                <w:rFonts w:ascii="Calibri" w:hAnsi="Calibri"/>
                <w:b/>
                <w:color w:val="30A46C"/>
                <w:sz w:val="22"/>
              </w:rPr>
              <w:t>Very Bullish — applied bookings +130%; record $12.1B backlog</w:t>
            </w:r>
          </w:p>
        </w:tc>
        <w:tc>
          <w:tcPr>
            <w:tcW w:type="dxa" w:w="1728"/>
          </w:tcPr>
          <w:p>
            <w:r>
              <w:rPr>
                <w:rFonts w:ascii="Calibri" w:hAnsi="Calibri"/>
                <w:sz w:val="22"/>
              </w:rPr>
              <w:t>Mixed — price vs. inflation headwind persisting; 2H margin expansion guided</w:t>
            </w:r>
          </w:p>
        </w:tc>
        <w:tc>
          <w:tcPr>
            <w:tcW w:type="dxa" w:w="1728"/>
          </w:tcPr>
          <w:p>
            <w:r>
              <w:rPr>
                <w:rFonts w:ascii="Calibri" w:hAnsi="Calibri"/>
                <w:sz w:val="22"/>
              </w:rPr>
              <w:t>↑ Organic growth raised to ~9%; EPS raised to $15.20–$15.30</w:t>
            </w:r>
          </w:p>
        </w:tc>
        <w:tc>
          <w:tcPr>
            <w:tcW w:type="dxa" w:w="1728"/>
          </w:tcPr>
          <w:p>
            <w:r>
              <w:rPr>
                <w:rFonts w:ascii="Calibri" w:hAnsi="Calibri"/>
                <w:sz w:val="22"/>
              </w:rPr>
              <w:t>Positive on demand and backlog; cautionary on price/cost dynamics</w:t>
            </w:r>
          </w:p>
        </w:tc>
      </w:tr>
    </w:tbl>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The most important development since the Q1 print is the completion of the Boyd Thermal acquisition ($9.55B, March 12, 2026) and its strong early performance (revenues more than doubled YoY in Q1), which is the primary incremental revenue driver for Q2 and the key test of management’s integration execution.</w:t>
      </w:r>
    </w:p>
    <w:p>
      <w:pPr>
        <w:pStyle w:val="ListBullet"/>
        <w:ind w:left="360" w:hanging="360"/>
      </w:pPr>
      <w:r>
        <w:rPr>
          <w:rFonts w:ascii="Calibri" w:hAnsi="Calibri"/>
          <w:b/>
          <w:color w:val="525866"/>
          <w:sz w:val="22"/>
        </w:rPr>
        <w:t>March 12, 2026 — Boyd Thermal acquisition closed ($9.55B):</w:t>
      </w:r>
      <w:r>
        <w:rPr>
          <w:rFonts w:ascii="Calibri" w:hAnsi="Calibri"/>
          <w:color w:val="525866"/>
          <w:sz w:val="22"/>
        </w:rPr>
        <w:t xml:space="preserve"> ETN closed its largest-ever acquisition, a global leader in thermal components and liquid cooling for data centers. Q1 revenues more than doubled YoY; backlog doubled over six months. Q2 run rate guided at ~$400M, rising to ~$450M/qtr in 2H. </w:t>
      </w:r>
      <w:r>
        <w:rPr>
          <w:rFonts w:ascii="Calibri" w:hAnsi="Calibri"/>
          <w:i/>
          <w:color w:val="525866"/>
          <w:sz w:val="22"/>
        </w:rPr>
        <w:t xml:space="preserve">Implication: </w:t>
      </w:r>
      <w:r>
        <w:rPr>
          <w:rFonts w:ascii="Calibri" w:hAnsi="Calibri"/>
          <w:i/>
          <w:color w:val="525866"/>
          <w:sz w:val="22"/>
        </w:rPr>
        <w:t>Boyd is the key incremental revenue driver for Q2 and the primary test of management’s integration execution. Strong Boyd performance would be a significant positive catalyst.</w:t>
      </w:r>
    </w:p>
    <w:p>
      <w:pPr>
        <w:pStyle w:val="ListBullet"/>
        <w:ind w:left="360" w:hanging="360"/>
      </w:pPr>
      <w:r>
        <w:rPr>
          <w:rFonts w:ascii="Calibri" w:hAnsi="Calibri"/>
          <w:b/>
          <w:color w:val="525866"/>
          <w:sz w:val="22"/>
        </w:rPr>
        <w:t>January 23, 2026 — Ultra PCS acquisition closed ($1.53B):</w:t>
      </w:r>
      <w:r>
        <w:rPr>
          <w:rFonts w:ascii="Calibri" w:hAnsi="Calibri"/>
          <w:color w:val="525866"/>
          <w:sz w:val="22"/>
        </w:rPr>
        <w:t xml:space="preserve"> ETN acquired Ultra PCS Limited, a UK-based aerospace electronics company (electronic controls, sensing, stores ejection). Reported within Aerospace segment. </w:t>
      </w:r>
      <w:r>
        <w:rPr>
          <w:rFonts w:ascii="Calibri" w:hAnsi="Calibri"/>
          <w:i/>
          <w:color w:val="525866"/>
          <w:sz w:val="22"/>
        </w:rPr>
        <w:t xml:space="preserve">Implication: </w:t>
      </w:r>
      <w:r>
        <w:rPr>
          <w:rFonts w:ascii="Calibri" w:hAnsi="Calibri"/>
          <w:i/>
          <w:color w:val="525866"/>
          <w:sz w:val="22"/>
        </w:rPr>
        <w:t>Adds to Aerospace segment revenue and backlog; Aerospace margins were a record 26.7% in Q1.</w:t>
      </w:r>
    </w:p>
    <w:p>
      <w:pPr>
        <w:pStyle w:val="ListBullet"/>
        <w:ind w:left="360" w:hanging="360"/>
      </w:pPr>
      <w:r>
        <w:rPr>
          <w:rFonts w:ascii="Calibri" w:hAnsi="Calibri"/>
          <w:b/>
          <w:color w:val="525866"/>
          <w:sz w:val="22"/>
        </w:rPr>
        <w:t>January 26, 2026 — Mobility spin-off announced:</w:t>
      </w:r>
      <w:r>
        <w:rPr>
          <w:rFonts w:ascii="Calibri" w:hAnsi="Calibri"/>
          <w:color w:val="525866"/>
          <w:sz w:val="22"/>
        </w:rPr>
        <w:t xml:space="preserve"> ETN announced intention to spin off its Mobility business into an independent publicly traded company, expected to complete by end of Q1 2027. </w:t>
      </w:r>
      <w:r>
        <w:rPr>
          <w:rFonts w:ascii="Calibri" w:hAnsi="Calibri"/>
          <w:i/>
          <w:color w:val="525866"/>
          <w:sz w:val="22"/>
        </w:rPr>
        <w:t xml:space="preserve">Implication: </w:t>
      </w:r>
      <w:r>
        <w:rPr>
          <w:rFonts w:ascii="Calibri" w:hAnsi="Calibri"/>
          <w:i/>
          <w:color w:val="525866"/>
          <w:sz w:val="22"/>
        </w:rPr>
        <w:t>Portfolio simplification toward higher-growth Electrical and Aerospace; Mobility contributed ~11.7% operating margins in Q1 2026. Spin-off execution risk is a watch item.</w:t>
      </w:r>
    </w:p>
    <w:p>
      <w:pPr>
        <w:pStyle w:val="ListBullet"/>
        <w:ind w:left="360" w:hanging="360"/>
      </w:pPr>
      <w:r>
        <w:rPr>
          <w:rFonts w:ascii="Calibri" w:hAnsi="Calibri"/>
          <w:b/>
          <w:color w:val="525866"/>
          <w:sz w:val="22"/>
        </w:rPr>
        <w:t>January 15, 2026 — $75M investment in SPAN:</w:t>
      </w:r>
      <w:r>
        <w:rPr>
          <w:rFonts w:ascii="Calibri" w:hAnsi="Calibri"/>
          <w:color w:val="525866"/>
          <w:sz w:val="22"/>
        </w:rPr>
        <w:t xml:space="preserve"> ETN invested $75M for ~7% stake in SPAN, a smart panel and home electrification technology company. </w:t>
      </w:r>
      <w:r>
        <w:rPr>
          <w:rFonts w:ascii="Calibri" w:hAnsi="Calibri"/>
          <w:i/>
          <w:color w:val="525866"/>
          <w:sz w:val="22"/>
        </w:rPr>
        <w:t xml:space="preserve">Implication: </w:t>
      </w:r>
      <w:r>
        <w:rPr>
          <w:rFonts w:ascii="Calibri" w:hAnsi="Calibri"/>
          <w:i/>
          <w:color w:val="525866"/>
          <w:sz w:val="22"/>
        </w:rPr>
        <w:t>Strategic positioning in residential electrification; not material to near-term financials.</w:t>
      </w:r>
    </w:p>
    <w:p>
      <w:pPr>
        <w:pStyle w:val="ListBullet"/>
        <w:ind w:left="360" w:hanging="360"/>
      </w:pPr>
      <w:r>
        <w:rPr>
          <w:rFonts w:ascii="Calibri" w:hAnsi="Calibri"/>
          <w:b/>
          <w:color w:val="525866"/>
          <w:sz w:val="22"/>
        </w:rPr>
        <w:t>July 13, 2026 — Q2 2026 earnings date announced:</w:t>
      </w:r>
      <w:r>
        <w:rPr>
          <w:rFonts w:ascii="Calibri" w:hAnsi="Calibri"/>
          <w:color w:val="525866"/>
          <w:sz w:val="22"/>
        </w:rPr>
        <w:t xml:space="preserve"> ETN confirmed July 31, 2026 as the Q2 earnings date, with an 11:00 AM ET conference call.</w:t>
      </w:r>
    </w:p>
    <w:p>
      <w:pPr>
        <w:pStyle w:val="ListBullet"/>
        <w:ind w:left="360" w:hanging="360"/>
      </w:pPr>
      <w:r>
        <w:rPr>
          <w:rFonts w:ascii="Calibri" w:hAnsi="Calibri"/>
          <w:b/>
          <w:color w:val="525866"/>
          <w:sz w:val="22"/>
        </w:rPr>
        <w:t>July 22, 2026 — GEV Q2 earnings (peer read-through):</w:t>
      </w:r>
      <w:r>
        <w:rPr>
          <w:rFonts w:ascii="Calibri" w:hAnsi="Calibri"/>
          <w:color w:val="525866"/>
          <w:sz w:val="22"/>
        </w:rPr>
        <w:t xml:space="preserve"> GE Vernova reported strong orders but EPS miss; stock fell ~6%. </w:t>
      </w:r>
      <w:r>
        <w:rPr>
          <w:rFonts w:ascii="Calibri" w:hAnsi="Calibri"/>
          <w:i/>
          <w:color w:val="525866"/>
          <w:sz w:val="22"/>
        </w:rPr>
        <w:t xml:space="preserve">Implication: </w:t>
      </w:r>
      <w:r>
        <w:rPr>
          <w:rFonts w:ascii="Calibri" w:hAnsi="Calibri"/>
          <w:i/>
          <w:color w:val="525866"/>
          <w:sz w:val="22"/>
        </w:rPr>
        <w:t>Raised the bar for ETN — the market is penalizing power/electrification names that miss on margins even when demand is strong.</w:t>
      </w:r>
    </w:p>
    <w:p>
      <w:pPr>
        <w:pStyle w:val="ListBullet"/>
        <w:ind w:left="360" w:hanging="360"/>
      </w:pPr>
      <w:r>
        <w:rPr>
          <w:rFonts w:ascii="Calibri" w:hAnsi="Calibri"/>
          <w:b/>
          <w:color w:val="525866"/>
          <w:sz w:val="22"/>
        </w:rPr>
        <w:t>July 28, 2026 — HUBB Q2 earnings (peer read-through):</w:t>
      </w:r>
      <w:r>
        <w:rPr>
          <w:rFonts w:ascii="Calibri" w:hAnsi="Calibri"/>
          <w:color w:val="525866"/>
          <w:sz w:val="22"/>
        </w:rPr>
        <w:t xml:space="preserve"> Hubbell reported data center sales +65%, raised full-year organic growth to +9–11%, and guided Electrical Solutions margin expansion in 2H. </w:t>
      </w:r>
      <w:r>
        <w:rPr>
          <w:rFonts w:ascii="Calibri" w:hAnsi="Calibri"/>
          <w:i/>
          <w:color w:val="525866"/>
          <w:sz w:val="22"/>
        </w:rPr>
        <w:t xml:space="preserve">Implication: </w:t>
      </w:r>
      <w:r>
        <w:rPr>
          <w:rFonts w:ascii="Calibri" w:hAnsi="Calibri"/>
          <w:i/>
          <w:color w:val="525866"/>
          <w:sz w:val="22"/>
        </w:rPr>
        <w:t>Strongest positive read-through for ETN’s Q2 demand and margin recovery narrative.</w:t>
      </w:r>
    </w:p>
    <w:p>
      <w:pPr>
        <w:pStyle w:val="ListBullet"/>
        <w:ind w:left="360" w:hanging="360"/>
      </w:pPr>
      <w:r>
        <w:rPr>
          <w:rFonts w:ascii="Calibri" w:hAnsi="Calibri"/>
          <w:b/>
          <w:color w:val="525866"/>
          <w:sz w:val="22"/>
        </w:rPr>
        <w:t>July 28, 2026 — CARR Q2 earnings (peer read-through):</w:t>
      </w:r>
      <w:r>
        <w:rPr>
          <w:rFonts w:ascii="Calibri" w:hAnsi="Calibri"/>
          <w:color w:val="525866"/>
          <w:sz w:val="22"/>
        </w:rPr>
        <w:t xml:space="preserve"> Carrier reported data center orders up 4x, raised full-year data center revenue to $2B, but guided Q3 margins lower sequentially due to mix. </w:t>
      </w:r>
      <w:r>
        <w:rPr>
          <w:rFonts w:ascii="Calibri" w:hAnsi="Calibri"/>
          <w:i/>
          <w:color w:val="525866"/>
          <w:sz w:val="22"/>
        </w:rPr>
        <w:t xml:space="preserve">Implication: </w:t>
      </w:r>
      <w:r>
        <w:rPr>
          <w:rFonts w:ascii="Calibri" w:hAnsi="Calibri"/>
          <w:i/>
          <w:color w:val="525866"/>
          <w:sz w:val="22"/>
        </w:rPr>
        <w:t>Positive on demand; cautionary on near-term margin mix dynamics for ETN.</w:t>
      </w:r>
    </w:p>
    <w:p>
      <w:pPr>
        <w:pStyle w:val="ListBullet"/>
        <w:ind w:left="360" w:hanging="360"/>
      </w:pPr>
      <w:r>
        <w:rPr>
          <w:rFonts w:ascii="Calibri" w:hAnsi="Calibri"/>
          <w:b/>
          <w:color w:val="525866"/>
          <w:sz w:val="22"/>
        </w:rPr>
        <w:t>July 29, 2026 — Quanta Services (PWR) Q2 earnings (sector read-through):</w:t>
      </w:r>
      <w:r>
        <w:rPr>
          <w:rFonts w:ascii="Calibri" w:hAnsi="Calibri"/>
          <w:color w:val="525866"/>
          <w:sz w:val="22"/>
        </w:rPr>
        <w:t xml:space="preserve"> PWR reported Q2 EPS of $4.24 (vs. $3.24 consensus) and revenue of $9.55B (vs. $8.5B consensus); backlog expanded to $53.4B from $48.5B; raised full-year EBITDA guidance to $4.09–$4.21B. </w:t>
      </w:r>
      <w:r>
        <w:rPr>
          <w:rFonts w:ascii="Calibri" w:hAnsi="Calibri"/>
          <w:i/>
          <w:color w:val="525866"/>
          <w:sz w:val="22"/>
        </w:rPr>
        <w:t xml:space="preserve">Implication: </w:t>
      </w:r>
      <w:r>
        <w:rPr>
          <w:rFonts w:ascii="Calibri" w:hAnsi="Calibri"/>
          <w:i/>
          <w:color w:val="525866"/>
          <w:sz w:val="22"/>
        </w:rPr>
        <w:t>Confirms robust electrical infrastructure spending and data center-driven project activity — a strong read-through for ETN’s end market demand.</w:t>
      </w:r>
    </w:p>
    <w:p>
      <w:pPr>
        <w:pStyle w:val="ListBullet"/>
        <w:ind w:left="360" w:hanging="360"/>
      </w:pPr>
      <w:r>
        <w:rPr>
          <w:rFonts w:ascii="Calibri" w:hAnsi="Calibri"/>
          <w:b/>
          <w:color w:val="525866"/>
          <w:sz w:val="22"/>
        </w:rPr>
        <w:t>July 30, 2026 — TT Q2 earnings (peer read-through):</w:t>
      </w:r>
      <w:r>
        <w:rPr>
          <w:rFonts w:ascii="Calibri" w:hAnsi="Calibri"/>
          <w:color w:val="525866"/>
          <w:sz w:val="22"/>
        </w:rPr>
        <w:t xml:space="preserve"> Trane Technologies reported 9% organic revenue growth (vs. +5.25% consensus), bookings up 37%, record $12.1B backlog; raised full-year organic growth to ~9% and EPS to $15.20–$15.30. </w:t>
      </w:r>
      <w:r>
        <w:rPr>
          <w:rFonts w:ascii="Calibri" w:hAnsi="Calibri"/>
          <w:i/>
          <w:color w:val="525866"/>
          <w:sz w:val="22"/>
        </w:rPr>
        <w:t xml:space="preserve">Implication: </w:t>
      </w:r>
      <w:r>
        <w:rPr>
          <w:rFonts w:ascii="Calibri" w:hAnsi="Calibri"/>
          <w:i/>
          <w:color w:val="525866"/>
          <w:sz w:val="22"/>
        </w:rPr>
        <w:t>Confirms strong commercial HVAC and data center demand; positive read-through for ETN.</w:t>
      </w:r>
    </w:p>
    <w:p>
      <w:pPr>
        <w:pStyle w:val="ListBullet"/>
        <w:ind w:left="360" w:hanging="360"/>
      </w:pPr>
      <w:r>
        <w:rPr>
          <w:rFonts w:ascii="Calibri" w:hAnsi="Calibri"/>
          <w:b/>
          <w:color w:val="525866"/>
          <w:sz w:val="22"/>
        </w:rPr>
        <w:t>July 29, 2026 — Baird downgrade of Caterpillar (CAT) (sector signal):</w:t>
      </w:r>
      <w:r>
        <w:rPr>
          <w:rFonts w:ascii="Calibri" w:hAnsi="Calibri"/>
          <w:color w:val="525866"/>
          <w:sz w:val="22"/>
        </w:rPr>
        <w:t xml:space="preserve"> Baird cut CAT to Neutral from Outperform, citing growing state and local government actions targeting data centers as a potential headwind to CAT’s orders and backlog. </w:t>
      </w:r>
      <w:r>
        <w:rPr>
          <w:rFonts w:ascii="Calibri" w:hAnsi="Calibri"/>
          <w:i/>
          <w:color w:val="525866"/>
          <w:sz w:val="22"/>
        </w:rPr>
        <w:t xml:space="preserve">Implication: </w:t>
      </w:r>
      <w:r>
        <w:rPr>
          <w:rFonts w:ascii="Calibri" w:hAnsi="Calibri"/>
          <w:i/>
          <w:color w:val="525866"/>
          <w:sz w:val="22"/>
        </w:rPr>
        <w:t>A tail risk for ETN if data center permitting/regulatory headwinds materialize, though ETN’s exposure is more to the electrical infrastructure inside data centers (less dependent on construction activity) than CAT’s.</w:t>
      </w:r>
    </w:p>
    <w:p>
      <w:pPr>
        <w:pStyle w:val="ListBullet"/>
        <w:ind w:left="360" w:hanging="360"/>
      </w:pPr>
      <w:r>
        <w:rPr>
          <w:rFonts w:ascii="Calibri" w:hAnsi="Calibri"/>
          <w:b/>
          <w:color w:val="525866"/>
          <w:sz w:val="22"/>
        </w:rPr>
        <w:t>April 1, 2026 — ETN implemented price increase:</w:t>
      </w:r>
      <w:r>
        <w:rPr>
          <w:rFonts w:ascii="Calibri" w:hAnsi="Calibri"/>
          <w:color w:val="525866"/>
          <w:sz w:val="22"/>
        </w:rPr>
        <w:t xml:space="preserve"> Management confirmed on the Q1 call that a price increase was implemented on April 1, 2026, designed to offset higher input costs in Electrical Americas. </w:t>
      </w:r>
      <w:r>
        <w:rPr>
          <w:rFonts w:ascii="Calibri" w:hAnsi="Calibri"/>
          <w:i/>
          <w:color w:val="525866"/>
          <w:sz w:val="22"/>
        </w:rPr>
        <w:t xml:space="preserve">Implication: </w:t>
      </w:r>
      <w:r>
        <w:rPr>
          <w:rFonts w:ascii="Calibri" w:hAnsi="Calibri"/>
          <w:i/>
          <w:color w:val="525866"/>
          <w:sz w:val="22"/>
        </w:rPr>
        <w:t>Key driver of the guided 150 bps sequential margin recovery in Q2; whether this is tracking as planned is the central question for the print.</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No open-market insider purchases or discretionary sales by ETN insiders were identified in the SEC Form 4 filings reviewed for the period since the Q1 2026 earnings (May 5, 2026). The Form 4 search returned filings primarily associated with ETN’s subsidiary entities (CIK 1551182 and related) rather than named ETN executives, and no material open-market buy or sell signals were identified. This is neither a bullish nor bearish signal.</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N/A — No material open-market transactions identified</w:t>
            </w:r>
          </w:p>
        </w:tc>
        <w:tc>
          <w:tcPr>
            <w:tcW w:type="dxa" w:w="1440"/>
          </w:tcPr>
          <w:p>
            <w:r>
              <w:rPr>
                <w:rFonts w:ascii="Calibri" w:hAnsi="Calibri"/>
                <w:sz w:val="22"/>
              </w:rPr>
              <w:t>—</w:t>
            </w:r>
          </w:p>
        </w:tc>
        <w:tc>
          <w:tcPr>
            <w:tcW w:type="dxa" w:w="1440"/>
          </w:tcPr>
          <w:p>
            <w:r>
              <w:rPr>
                <w:rFonts w:ascii="Calibri" w:hAnsi="Calibri"/>
                <w:sz w:val="22"/>
              </w:rPr>
              <w:t>—</w:t>
            </w:r>
          </w:p>
        </w:tc>
        <w:tc>
          <w:tcPr>
            <w:tcW w:type="dxa" w:w="1440"/>
          </w:tcPr>
          <w:p>
            <w:r>
              <w:rPr>
                <w:rFonts w:ascii="Calibri" w:hAnsi="Calibri"/>
                <w:sz w:val="22"/>
              </w:rPr>
              <w:t>—</w:t>
            </w:r>
          </w:p>
        </w:tc>
        <w:tc>
          <w:tcPr>
            <w:tcW w:type="dxa" w:w="1440"/>
          </w:tcPr>
          <w:p>
            <w:r>
              <w:rPr>
                <w:rFonts w:ascii="Calibri" w:hAnsi="Calibri"/>
                <w:sz w:val="22"/>
              </w:rPr>
              <w:t>—</w:t>
            </w:r>
          </w:p>
        </w:tc>
        <w:tc>
          <w:tcPr>
            <w:tcW w:type="dxa" w:w="1440"/>
          </w:tcPr>
          <w:p>
            <w:r>
              <w:rPr>
                <w:rFonts w:ascii="Calibri" w:hAnsi="Calibri"/>
                <w:sz w:val="22"/>
              </w:rPr>
              <w:t>SEC Form 4 search returned subsidiary-level filings; no named ETN executive open-market buys or discretionary sales identified since May 5, 2026</w:t>
            </w:r>
          </w:p>
        </w:tc>
      </w:tr>
    </w:tbl>
    <w:p>
      <w:r>
        <w:rPr>
          <w:rFonts w:ascii="Calibri" w:hAnsi="Calibri"/>
          <w:b/>
          <w:color w:val="525866"/>
          <w:sz w:val="22"/>
        </w:rPr>
        <w:t xml:space="preserve">Note: </w:t>
      </w:r>
      <w:r>
        <w:rPr>
          <w:rFonts w:ascii="Calibri" w:hAnsi="Calibri"/>
          <w:color w:val="525866"/>
          <w:sz w:val="22"/>
        </w:rPr>
        <w:t>The SEC Form 4 search for ETN (CIK 1551182) returned 16 filings between May 5 and July 30, 2026, but these appear to be associated with ETN’s subsidiary entities and trust structures rather than named executive officers. No open-market purchases (Form 4 code P) or discretionary sales (Form 4 code S) by named ETN senior executives were identified in the reviewed filings. Investors should independently verify via SEC EDGAR for any filings not captured in this search window.</w:t>
      </w:r>
    </w:p>
    <w:p>
      <w:r>
        <w:rPr>
          <w:rFonts w:ascii="Calibri" w:hAnsi="Calibri"/>
          <w:color w:val="525866"/>
          <w:sz w:val="22"/>
        </w:rPr>
        <w:t>Source: SEC EDGAR Form 4 filings search for ETN, May 5 – July 30, 2026.</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