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ETR (Entergy Corporation) before writing the preview. Let me gather recent transcripts, filings, news, and price data.Let me read the most recent earnings call transcript and release, plus get recent news and price data.I have strong Q1 detail. Now let me check for the June Investor Day, recent news, and stock price performance.Let me read the June Investor Day transcript for the updated long-term outlook, and check recent daily news for any pre-earnings items.Let me pull the Q2 2025 release for the year-over-year comparison base, and recent analyst/news via daily news topics.I now have what I need. Here is the earnings preview.</w:t>
      </w:r>
    </w:p>
    <w:bookmarkStart w:id="17" w:name="X9b5b3fac79987ab00cfacfb49b02697407e1ed5"/>
    <w:p>
      <w:pPr>
        <w:pStyle w:val="Heading1"/>
      </w:pPr>
      <w:r>
        <w:t xml:space="preserve">Entergy Corporation (ETR) — Q2 2026 Earnings Preview</w:t>
      </w:r>
    </w:p>
    <w:p>
      <w:pPr>
        <w:pStyle w:val="FirstParagraph"/>
      </w:pPr>
      <w:r>
        <w:rPr>
          <w:b/>
          <w:bCs/>
        </w:rPr>
        <w:t xml:space="preserve">Report date:</w:t>
      </w:r>
      <w:r>
        <w:t xml:space="preserve"> </w:t>
      </w:r>
      <w:r>
        <w:t xml:space="preserve">Wednesday, July 29, 2026 (before open) ·</w:t>
      </w:r>
      <w:r>
        <w:t xml:space="preserve"> </w:t>
      </w:r>
      <w:r>
        <w:rPr>
          <w:b/>
          <w:bCs/>
        </w:rPr>
        <w:t xml:space="preserve">Call:</w:t>
      </w:r>
      <w:r>
        <w:t xml:space="preserve"> </w:t>
      </w:r>
      <w:r>
        <w:t xml:space="preserve">10:00 a.m. CT ·</w:t>
      </w:r>
      <w:r>
        <w:t xml:space="preserve"> </w:t>
      </w:r>
      <w:r>
        <w:rPr>
          <w:b/>
          <w:bCs/>
        </w:rPr>
        <w:t xml:space="preserve">Event:</w:t>
      </w:r>
      <w:r>
        <w:t xml:space="preserve"> </w:t>
      </w:r>
      <w:r>
        <w:t xml:space="preserve">2026Q2 Earnings Call</w:t>
      </w:r>
    </w:p>
    <w:p>
      <w:r>
        <w:pict>
          <v:rect style="width:0;height:1.5pt" o:hralign="center" o:hrstd="t" o:hr="t"/>
        </w:pict>
      </w:r>
    </w:p>
    <w:bookmarkStart w:id="9" w:name="the-one-line-setup"/>
    <w:p>
      <w:pPr>
        <w:pStyle w:val="Heading2"/>
      </w:pPr>
      <w:r>
        <w:t xml:space="preserve">The one-line setup</w:t>
      </w:r>
    </w:p>
    <w:p>
      <w:pPr>
        <w:pStyle w:val="FirstParagraph"/>
      </w:pPr>
      <w:r>
        <w:t xml:space="preserve">Entergy has become the market's premier "utility-as-data-center-play." The stock has done the work, so Q2 is less about the printed EPS number and more about whether management keeps validating the load-growth-and-capex flywheel it laid out at its June 9 Investor Day — and whether it can start converting the enormous out-of-plan pipeline into hard commitments without a financing or storm-season stumble.</w:t>
      </w:r>
    </w:p>
    <w:p>
      <w:r>
        <w:pict>
          <v:rect style="width:0;height:1.5pt" o:hralign="center" o:hrstd="t" o:hr="t"/>
        </w:pict>
      </w:r>
    </w:p>
    <w:bookmarkEnd w:id="9"/>
    <w:bookmarkStart w:id="10" w:name="X70a906263bd5151b83aae238a7a050f2288ad7b"/>
    <w:p>
      <w:pPr>
        <w:pStyle w:val="Heading2"/>
      </w:pPr>
      <w:r>
        <w:t xml:space="preserve">1. What actually gets reported vs. what matters</w:t>
      </w:r>
    </w:p>
    <w:p>
      <w:pPr>
        <w:pStyle w:val="FirstParagraph"/>
      </w:pPr>
      <w:r>
        <w:rPr>
          <w:b/>
          <w:bCs/>
        </w:rPr>
        <w:t xml:space="preserve">The comp.</w:t>
      </w:r>
      <w:r>
        <w:t xml:space="preserve"> </w:t>
      </w:r>
      <w:r>
        <w:t xml:space="preserve">In Q2 2025, ETR earned **</w:t>
      </w:r>
      <m:oMath>
        <m:r>
          <m:t>1.05</m:t>
        </m:r>
        <m:r>
          <m:rPr>
            <m:sty m:val="p"/>
          </m:rPr>
          <m:t>*</m:t>
        </m:r>
        <m:r>
          <m:rPr>
            <m:sty m:val="p"/>
          </m:rPr>
          <m:t>*</m:t>
        </m:r>
        <m:r>
          <m:t>i</m:t>
        </m:r>
        <m:r>
          <m:t>n</m:t>
        </m:r>
        <m:r>
          <m:t>a</m:t>
        </m:r>
        <m:r>
          <m:t>d</m:t>
        </m:r>
        <m:r>
          <m:t>j</m:t>
        </m:r>
        <m:r>
          <m:t>u</m:t>
        </m:r>
        <m:r>
          <m:t>s</m:t>
        </m:r>
        <m:r>
          <m:t>t</m:t>
        </m:r>
        <m:r>
          <m:t>e</m:t>
        </m:r>
        <m:r>
          <m:t>d</m:t>
        </m:r>
        <m:r>
          <m:rPr>
            <m:sty m:val="p"/>
          </m:rPr>
          <m:t>(</m:t>
        </m:r>
        <m:r>
          <m:t>a</m:t>
        </m:r>
        <m:r>
          <m:t>n</m:t>
        </m:r>
        <m:r>
          <m:t>d</m:t>
        </m:r>
        <m:r>
          <m:t>a</m:t>
        </m:r>
        <m:r>
          <m:t>s</m:t>
        </m:r>
        <m:r>
          <m:rPr>
            <m:sty m:val="p"/>
          </m:rPr>
          <m:t>−</m:t>
        </m:r>
        <m:r>
          <m:t>r</m:t>
        </m:r>
        <m:r>
          <m:t>e</m:t>
        </m:r>
        <m:r>
          <m:t>p</m:t>
        </m:r>
        <m:r>
          <m:t>o</m:t>
        </m:r>
        <m:r>
          <m:t>r</m:t>
        </m:r>
        <m:r>
          <m:t>t</m:t>
        </m:r>
        <m:r>
          <m:t>e</m:t>
        </m:r>
        <m:r>
          <m:t>d</m:t>
        </m:r>
        <m:r>
          <m:rPr>
            <m:sty m:val="p"/>
          </m:rPr>
          <m:t>)</m:t>
        </m:r>
        <m:r>
          <m:t>E</m:t>
        </m:r>
        <m:r>
          <m:t>P</m:t>
        </m:r>
        <m:r>
          <m:t>S</m:t>
        </m:r>
        <m:r>
          <m:rPr>
            <m:sty m:val="p"/>
          </m:rPr>
          <m:t>,</m:t>
        </m:r>
        <m:r>
          <m:t>h</m:t>
        </m:r>
        <m:r>
          <m:t>e</m:t>
        </m:r>
        <m:r>
          <m:t>l</m:t>
        </m:r>
        <m:r>
          <m:t>p</m:t>
        </m:r>
        <m:r>
          <m:t>e</m:t>
        </m:r>
        <m:r>
          <m:t>d</m:t>
        </m:r>
        <m:r>
          <m:t>b</m:t>
        </m:r>
        <m:r>
          <m:t>y</m:t>
        </m:r>
        <m:r>
          <m:t> </m:t>
        </m:r>
      </m:oMath>
      <w:r>
        <w:t xml:space="preserve">0.08 of favorable weather. That's the bar for the year-over-year headline.</w:t>
      </w:r>
    </w:p>
    <w:p>
      <w:pPr>
        <w:pStyle w:val="BodyText"/>
      </w:pPr>
      <w:r>
        <w:rPr>
          <w:b/>
          <w:bCs/>
        </w:rPr>
        <w:t xml:space="preserve">Watch the Q2 O&amp;M headwind — it's telegraphed.</w:t>
      </w:r>
      <w:r>
        <w:t xml:space="preserve"> </w:t>
      </w:r>
      <w:r>
        <w:t xml:space="preserve">On the Q1 call, CFO Kimberly Fontan explicitly guided that</w:t>
      </w:r>
      <w:r>
        <w:t xml:space="preserve"> </w:t>
      </w:r>
      <w:r>
        <w:rPr>
          <w:b/>
          <w:bCs/>
        </w:rPr>
        <w:t xml:space="preserve">Q2 2026 other O&amp;M would run ~$0.15 higher than Q2 2025</w:t>
      </w:r>
      <w:r>
        <w:t xml:space="preserve">, driven by higher vegetation-management spending and the timing of nuclear maintenance. This is planned, plan-neutral timing — but it means a soft-looking Q2 headline is</w:t>
      </w:r>
      <w:r>
        <w:t xml:space="preserve"> </w:t>
      </w:r>
      <w:r>
        <w:rPr>
          <w:i/>
          <w:iCs/>
        </w:rPr>
        <w:t xml:space="preserve">expected</w:t>
      </w:r>
      <w:r>
        <w:t xml:space="preserve">, and the buy-side should not misread it as a miss. If the print is light, the first question is whether it's just this O&amp;M timing.</w:t>
      </w:r>
    </w:p>
    <w:p>
      <w:pPr>
        <w:pStyle w:val="BodyText"/>
      </w:pPr>
      <w:r>
        <w:rPr>
          <w:b/>
          <w:bCs/>
        </w:rPr>
        <w:t xml:space="preserve">Full-year guidance is the real number.</w:t>
      </w:r>
      <w:r>
        <w:t xml:space="preserve"> </w:t>
      </w:r>
      <w:r>
        <w:t xml:space="preserve">Management</w:t>
      </w:r>
      <w:r>
        <w:t xml:space="preserve"> </w:t>
      </w:r>
      <w:r>
        <w:rPr>
          <w:b/>
          <w:bCs/>
        </w:rPr>
        <w:t xml:space="preserve">affirmed 2026 adjusted EPS guidance of</w:t>
      </w:r>
      <w:r>
        <w:rPr>
          <w:b/>
          <w:bCs/>
        </w:rPr>
        <w:t xml:space="preserve"> </w:t>
      </w:r>
      <m:oMath>
        <m:r>
          <m:t>4.25</m:t>
        </m:r>
        <m:r>
          <m:rPr>
            <m:sty m:val="p"/>
          </m:rPr>
          <m:t>–</m:t>
        </m:r>
      </m:oMath>
      <w:r>
        <w:rPr>
          <w:b/>
          <w:bCs/>
        </w:rPr>
        <w:t xml:space="preserve">4.45</w:t>
      </w:r>
      <w:r>
        <w:t xml:space="preserve"> </w:t>
      </w:r>
      <w:r>
        <w:t xml:space="preserve">at Q1 and said it was "firmly on track." Q1 came in at $0.86 (vs. $0.82). Given the front-half O&amp;M drag and the growth ramp weighted to later quarters, expect guidance to be</w:t>
      </w:r>
      <w:r>
        <w:t xml:space="preserve"> </w:t>
      </w:r>
      <w:r>
        <w:rPr>
          <w:b/>
          <w:bCs/>
        </w:rPr>
        <w:t xml:space="preserve">reaffirmed</w:t>
      </w:r>
      <w:r>
        <w:t xml:space="preserve"> </w:t>
      </w:r>
      <w:r>
        <w:t xml:space="preserve">rather than raised at Q2. Any hint of high-end bias would be a positive surprise; any wobble would be notable given how richly the stock trades.</w:t>
      </w:r>
    </w:p>
    <w:p>
      <w:r>
        <w:pict>
          <v:rect style="width:0;height:1.5pt" o:hralign="center" o:hrstd="t" o:hr="t"/>
        </w:pict>
      </w:r>
    </w:p>
    <w:bookmarkEnd w:id="10"/>
    <w:bookmarkStart w:id="11" w:name="X7a519a2559adfe94024205ca367ad8bb7b2b604"/>
    <w:p>
      <w:pPr>
        <w:pStyle w:val="Heading2"/>
      </w:pPr>
      <w:r>
        <w:t xml:space="preserve">2. The valuation stakes are high — the stock has already run</w:t>
      </w:r>
    </w:p>
    <w:p>
      <w:pPr>
        <w:pStyle w:val="FirstParagraph"/>
      </w:pPr>
      <w:r>
        <w:t xml:space="preserve">ETR has dramatically outperformed the utility complex over the past year:</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p>
        </w:tc>
        <w:tc>
          <w:tcPr/>
          <w:p>
            <w:pPr>
              <w:pStyle w:val="Compact"/>
            </w:pPr>
            <w:r>
              <w:t xml:space="preserve">~1 yr ago (Jul 1 '25)</w:t>
            </w:r>
          </w:p>
        </w:tc>
        <w:tc>
          <w:tcPr/>
          <w:p>
            <w:pPr>
              <w:pStyle w:val="Compact"/>
            </w:pPr>
            <w:r>
              <w:t xml:space="preserve">YE 2025</w:t>
            </w:r>
          </w:p>
        </w:tc>
        <w:tc>
          <w:tcPr/>
          <w:p>
            <w:pPr>
              <w:pStyle w:val="Compact"/>
            </w:pPr>
            <w:r>
              <w:t xml:space="preserve">Latest (Jul 28 '26)</w:t>
            </w:r>
          </w:p>
        </w:tc>
      </w:tr>
      <w:tr>
        <w:tc>
          <w:tcPr/>
          <w:p>
            <w:pPr>
              <w:pStyle w:val="Compact"/>
            </w:pPr>
            <w:r>
              <w:rPr>
                <w:b/>
                <w:bCs/>
              </w:rPr>
              <w:t xml:space="preserve">ETR</w:t>
            </w:r>
          </w:p>
        </w:tc>
        <w:tc>
          <w:tcPr/>
          <w:p>
            <w:pPr>
              <w:pStyle w:val="Compact"/>
            </w:pPr>
            <w:r>
              <w:t xml:space="preserve">$82.53</w:t>
            </w:r>
          </w:p>
        </w:tc>
        <w:tc>
          <w:tcPr/>
          <w:p>
            <w:pPr>
              <w:pStyle w:val="Compact"/>
            </w:pPr>
            <w:r>
              <w:t xml:space="preserve">$92.43</w:t>
            </w:r>
          </w:p>
        </w:tc>
        <w:tc>
          <w:tcPr/>
          <w:p>
            <w:pPr>
              <w:pStyle w:val="Compact"/>
            </w:pPr>
            <w:r>
              <w:rPr>
                <w:b/>
                <w:bCs/>
              </w:rPr>
              <w:t xml:space="preserve">$112.35</w:t>
            </w:r>
          </w:p>
        </w:tc>
      </w:tr>
      <w:tr>
        <w:tc>
          <w:tcPr/>
          <w:p>
            <w:pPr>
              <w:pStyle w:val="Compact"/>
            </w:pPr>
            <w:r>
              <w:rPr>
                <w:b/>
                <w:bCs/>
              </w:rPr>
              <w:t xml:space="preserve">XLU (utility ETF)</w:t>
            </w:r>
          </w:p>
        </w:tc>
        <w:tc>
          <w:tcPr/>
          <w:p>
            <w:pPr>
              <w:pStyle w:val="Compact"/>
            </w:pPr>
            <w:r>
              <w:t xml:space="preserve">$40.97</w:t>
            </w:r>
          </w:p>
        </w:tc>
        <w:tc>
          <w:tcPr/>
          <w:p>
            <w:pPr>
              <w:pStyle w:val="Compact"/>
            </w:pPr>
            <w:r>
              <w:t xml:space="preserve">$42.69</w:t>
            </w:r>
          </w:p>
        </w:tc>
        <w:tc>
          <w:tcPr/>
          <w:p>
            <w:pPr>
              <w:pStyle w:val="Compact"/>
            </w:pPr>
            <w:r>
              <w:t xml:space="preserve">$45.53</w:t>
            </w:r>
          </w:p>
        </w:tc>
      </w:tr>
    </w:tbl>
    <w:p>
      <w:pPr>
        <w:pStyle w:val="BodyText"/>
      </w:pPr>
      <w:r>
        <w:t xml:space="preserve">That's roughly</w:t>
      </w:r>
      <w:r>
        <w:t xml:space="preserve"> </w:t>
      </w:r>
      <w:r>
        <w:rPr>
          <w:b/>
          <w:bCs/>
        </w:rPr>
        <w:t xml:space="preserve">+36% for ETR over the last year vs. ~+11% for XLU</w:t>
      </w:r>
      <w:r>
        <w:t xml:space="preserve">, and ~+22% YTD 2026. At ~</w:t>
      </w:r>
      <m:oMath>
        <m:r>
          <m:t>112</m:t>
        </m:r>
        <m:r>
          <m:t>a</m:t>
        </m:r>
        <m:r>
          <m:t>g</m:t>
        </m:r>
        <m:r>
          <m:t>a</m:t>
        </m:r>
        <m:r>
          <m:t>i</m:t>
        </m:r>
        <m:r>
          <m:t>n</m:t>
        </m:r>
        <m:r>
          <m:t>s</m:t>
        </m:r>
        <m:r>
          <m:t>t</m:t>
        </m:r>
        <m:r>
          <m:t> </m:t>
        </m:r>
      </m:oMath>
      <w:r>
        <w:t xml:space="preserve">4.35 mid-guidance, ETR trades near a **~26x forward P/E — a premium multiple for a regulated utility**, which management itself flagged at Investor Day ("our premium reflects that in the near term"). The stock also peaked near $118 in April/May and has pulled back ~3% in the two sessions into the print.</w:t>
      </w:r>
      <w:r>
        <w:t xml:space="preserve"> </w:t>
      </w:r>
      <w:r>
        <w:rPr>
          <w:b/>
          <w:bCs/>
        </w:rPr>
        <w:t xml:space="preserve">Translation: expectations are elevated, and the reaction function is asymmetric</w:t>
      </w:r>
      <w:r>
        <w:t xml:space="preserve"> </w:t>
      </w:r>
      <w:r>
        <w:t xml:space="preserve">— reassurance is priced in; the upside case needs</w:t>
      </w:r>
      <w:r>
        <w:t xml:space="preserve"> </w:t>
      </w:r>
      <w:r>
        <w:rPr>
          <w:i/>
          <w:iCs/>
        </w:rPr>
        <w:t xml:space="preserve">new</w:t>
      </w:r>
      <w:r>
        <w:t xml:space="preserve"> </w:t>
      </w:r>
      <w:r>
        <w:t xml:space="preserve">out-of-plan growth signposts, while any crack in the data-center/financing/storm narrative could de-rate a rich multiple.</w:t>
      </w:r>
    </w:p>
    <w:p>
      <w:r>
        <w:pict>
          <v:rect style="width:0;height:1.5pt" o:hralign="center" o:hrstd="t" o:hr="t"/>
        </w:pict>
      </w:r>
    </w:p>
    <w:bookmarkEnd w:id="11"/>
    <w:bookmarkStart w:id="12" w:name="X82f072c48d762c2f0dee643940d704eccd3eddc"/>
    <w:p>
      <w:pPr>
        <w:pStyle w:val="Heading2"/>
      </w:pPr>
      <w:r>
        <w:t xml:space="preserve">3. The growth engine: load, capex, and the pipeline</w:t>
      </w:r>
    </w:p>
    <w:p>
      <w:pPr>
        <w:pStyle w:val="FirstParagraph"/>
      </w:pPr>
      <w:r>
        <w:t xml:space="preserve">This is the crux of the story. Post-Investor Day, the framework investors are underwriting:</w:t>
      </w:r>
    </w:p>
    <w:p>
      <w:pPr>
        <w:pStyle w:val="Compact"/>
        <w:numPr>
          <w:ilvl w:val="0"/>
          <w:numId w:val="1001"/>
        </w:numPr>
      </w:pPr>
      <w:r>
        <w:rPr>
          <w:b/>
          <w:bCs/>
        </w:rPr>
        <w:t xml:space="preserve">~9% retail sales CAGR</w:t>
      </w:r>
      <w:r>
        <w:t xml:space="preserve"> </w:t>
      </w:r>
      <w:r>
        <w:t xml:space="preserve">through 2030, underpinned by</w:t>
      </w:r>
      <w:r>
        <w:t xml:space="preserve"> </w:t>
      </w:r>
      <w:r>
        <w:rPr>
          <w:b/>
          <w:bCs/>
        </w:rPr>
        <w:t xml:space="preserve">~16% industrial growth</w:t>
      </w:r>
      <w:r>
        <w:t xml:space="preserve"> </w:t>
      </w:r>
      <w:r>
        <w:t xml:space="preserve">— roughly double the 2024 outlook. Sales go from 128 TWh (2026) to ~68 TWh of</w:t>
      </w:r>
      <w:r>
        <w:t xml:space="preserve"> </w:t>
      </w:r>
      <w:r>
        <w:rPr>
          <w:i/>
          <w:iCs/>
        </w:rPr>
        <w:t xml:space="preserve">incremental</w:t>
      </w:r>
      <w:r>
        <w:t xml:space="preserve"> </w:t>
      </w:r>
      <w:r>
        <w:t xml:space="preserve">volume, a &gt;50% increase.</w:t>
      </w:r>
    </w:p>
    <w:p>
      <w:pPr>
        <w:pStyle w:val="Compact"/>
        <w:numPr>
          <w:ilvl w:val="0"/>
          <w:numId w:val="1001"/>
        </w:numPr>
      </w:pPr>
      <w:r>
        <w:t xml:space="preserve">**</w:t>
      </w:r>
      <m:oMath>
        <m:r>
          <m:t>67</m:t>
        </m:r>
        <m:r>
          <m:t>B</m:t>
        </m:r>
        <m:r>
          <m:t>f</m:t>
        </m:r>
        <m:r>
          <m:t>i</m:t>
        </m:r>
        <m:r>
          <m:t>v</m:t>
        </m:r>
        <m:r>
          <m:t>e</m:t>
        </m:r>
        <m:r>
          <m:rPr>
            <m:sty m:val="p"/>
          </m:rPr>
          <m:t>−</m:t>
        </m:r>
        <m:r>
          <m:t>y</m:t>
        </m:r>
        <m:r>
          <m:t>e</m:t>
        </m:r>
        <m:r>
          <m:t>a</m:t>
        </m:r>
        <m:r>
          <m:t>r</m:t>
        </m:r>
        <m:r>
          <m:t>c</m:t>
        </m:r>
        <m:r>
          <m:t>a</m:t>
        </m:r>
        <m:r>
          <m:t>p</m:t>
        </m:r>
        <m:r>
          <m:t>i</m:t>
        </m:r>
        <m:r>
          <m:t>t</m:t>
        </m:r>
        <m:r>
          <m:t>a</m:t>
        </m:r>
        <m:r>
          <m:t>l</m:t>
        </m:r>
        <m:r>
          <m:t>p</m:t>
        </m:r>
        <m:r>
          <m:t>l</m:t>
        </m:r>
        <m:r>
          <m:t>a</m:t>
        </m:r>
        <m:r>
          <m:t>n</m:t>
        </m:r>
        <m:r>
          <m:rPr>
            <m:sty m:val="p"/>
          </m:rPr>
          <m:t>*</m:t>
        </m:r>
        <m:r>
          <m:rPr>
            <m:sty m:val="p"/>
          </m:rPr>
          <m:t>*</m:t>
        </m:r>
        <m:r>
          <m:rPr>
            <m:sty m:val="p"/>
          </m:rPr>
          <m:t>(</m:t>
        </m:r>
        <m:r>
          <m:t> </m:t>
        </m:r>
      </m:oMath>
      <w:r>
        <w:t xml:space="preserve">13B/yr) and</w:t>
      </w:r>
      <w:r>
        <w:t xml:space="preserve"> </w:t>
      </w:r>
      <w:r>
        <w:rPr>
          <w:b/>
          <w:bCs/>
        </w:rPr>
        <w:t xml:space="preserve">~$97–100B rate base by 2030 (~16% CAGR)</w:t>
      </w:r>
      <w:r>
        <w:t xml:space="preserve"> </w:t>
      </w:r>
      <w:r>
        <w:t xml:space="preserve">— which management calls the highest rate-base growth in the industry.</w:t>
      </w:r>
    </w:p>
    <w:p>
      <w:pPr>
        <w:pStyle w:val="Compact"/>
        <w:numPr>
          <w:ilvl w:val="0"/>
          <w:numId w:val="1001"/>
        </w:numPr>
      </w:pPr>
      <w:r>
        <w:t xml:space="preserve">**Meta (Louisiana, ~5 GW / ~</w:t>
      </w:r>
      <m:oMath>
        <m:r>
          <m:t>50</m:t>
        </m:r>
        <m:r>
          <m:t>B</m:t>
        </m:r>
        <m:r>
          <m:t>c</m:t>
        </m:r>
        <m:r>
          <m:t>u</m:t>
        </m:r>
        <m:r>
          <m:t>s</m:t>
        </m:r>
        <m:r>
          <m:t>t</m:t>
        </m:r>
        <m:r>
          <m:t>o</m:t>
        </m:r>
        <m:r>
          <m:t>m</m:t>
        </m:r>
        <m:r>
          <m:t>e</m:t>
        </m:r>
        <m:r>
          <m:t>r</m:t>
        </m:r>
        <m:r>
          <m:t>i</m:t>
        </m:r>
        <m:r>
          <m:t>n</m:t>
        </m:r>
        <m:r>
          <m:t>v</m:t>
        </m:r>
        <m:r>
          <m:t>e</m:t>
        </m:r>
        <m:r>
          <m:t>s</m:t>
        </m:r>
        <m:r>
          <m:t>t</m:t>
        </m:r>
        <m:r>
          <m:t>m</m:t>
        </m:r>
        <m:r>
          <m:t>e</m:t>
        </m:r>
        <m:r>
          <m:t>n</m:t>
        </m:r>
        <m:r>
          <m:t>t</m:t>
        </m:r>
        <m:r>
          <m:rPr>
            <m:sty m:val="p"/>
          </m:rPr>
          <m:t>)</m:t>
        </m:r>
        <m:r>
          <m:rPr>
            <m:sty m:val="p"/>
          </m:rPr>
          <m:t>*</m:t>
        </m:r>
        <m:r>
          <m:rPr>
            <m:sty m:val="p"/>
          </m:rPr>
          <m:t>*</m:t>
        </m:r>
        <m:r>
          <m:t>a</m:t>
        </m:r>
        <m:r>
          <m:t>d</m:t>
        </m:r>
        <m:r>
          <m:t>d</m:t>
        </m:r>
        <m:r>
          <m:t>e</m:t>
        </m:r>
        <m:r>
          <m:t>d</m:t>
        </m:r>
        <m:r>
          <m:t> </m:t>
        </m:r>
      </m:oMath>
      <w:r>
        <w:t xml:space="preserve">14B to the four-year plan at Q1; the transmission, renewables, and River Bend nuclear-uprate pieces are</w:t>
      </w:r>
      <w:r>
        <w:t xml:space="preserve"> </w:t>
      </w:r>
      <w:r>
        <w:rPr>
          <w:b/>
          <w:bCs/>
        </w:rPr>
        <w:t xml:space="preserve">not yet in the plan</w:t>
      </w:r>
      <w:r>
        <w:t xml:space="preserve"> </w:t>
      </w:r>
      <w:r>
        <w:t xml:space="preserve">— an explicit upside bucket.</w:t>
      </w:r>
    </w:p>
    <w:p>
      <w:pPr>
        <w:pStyle w:val="Compact"/>
        <w:numPr>
          <w:ilvl w:val="0"/>
          <w:numId w:val="1001"/>
        </w:numPr>
      </w:pPr>
      <w:r>
        <w:rPr>
          <w:b/>
          <w:bCs/>
        </w:rPr>
        <w:t xml:space="preserve">&gt;8% adjusted EPS CAGR through 2030</w:t>
      </w:r>
      <w:r>
        <w:t xml:space="preserve"> </w:t>
      </w:r>
      <w:r>
        <w:t xml:space="preserve">(underlying YoY closer to</w:t>
      </w:r>
      <w:r>
        <w:t xml:space="preserve"> </w:t>
      </w:r>
      <w:r>
        <w:rPr>
          <w:b/>
          <w:bCs/>
        </w:rPr>
        <w:t xml:space="preserve">~12%</w:t>
      </w:r>
      <w:r>
        <w:t xml:space="preserve">), which management extended to</w:t>
      </w:r>
      <w:r>
        <w:t xml:space="preserve"> </w:t>
      </w:r>
      <w:r>
        <w:rPr>
          <w:b/>
          <w:bCs/>
        </w:rPr>
        <w:t xml:space="preserve">&gt;8% through at least 2035</w:t>
      </w:r>
      <w:r>
        <w:t xml:space="preserve"> </w:t>
      </w:r>
      <w:r>
        <w:t xml:space="preserve">— a longer runway than ETR has ever guided.</w:t>
      </w:r>
    </w:p>
    <w:p>
      <w:pPr>
        <w:pStyle w:val="FirstParagraph"/>
      </w:pPr>
      <w:r>
        <w:rPr>
          <w:b/>
          <w:bCs/>
        </w:rPr>
        <w:t xml:space="preserve">What to listen for on Q2:</w:t>
      </w:r>
    </w:p>
    <w:p>
      <w:pPr>
        <w:pStyle w:val="Compact"/>
        <w:numPr>
          <w:ilvl w:val="0"/>
          <w:numId w:val="1002"/>
        </w:numPr>
      </w:pPr>
      <w:r>
        <w:rPr>
          <w:b/>
          <w:bCs/>
        </w:rPr>
        <w:t xml:space="preserve">Industrial/data-center ramp.</w:t>
      </w:r>
      <w:r>
        <w:t xml:space="preserve"> </w:t>
      </w:r>
      <w:r>
        <w:t xml:space="preserve">Q1 industrial volume was</w:t>
      </w:r>
      <w:r>
        <w:t xml:space="preserve"> </w:t>
      </w:r>
      <w:r>
        <w:rPr>
          <w:b/>
          <w:bCs/>
        </w:rPr>
        <w:t xml:space="preserve">+15%</w:t>
      </w:r>
      <w:r>
        <w:t xml:space="preserve"> </w:t>
      </w:r>
      <w:r>
        <w:t xml:space="preserve">(vs. ~10% full-year plan), driven by data centers, primary metals, transportation. Does Q2 sustain the outsized ramp? Management resisted moving to the high end at Q1 — an upgrade here would be a tell.</w:t>
      </w:r>
    </w:p>
    <w:p>
      <w:pPr>
        <w:pStyle w:val="Compact"/>
        <w:numPr>
          <w:ilvl w:val="0"/>
          <w:numId w:val="1002"/>
        </w:numPr>
      </w:pPr>
      <w:r>
        <w:rPr>
          <w:b/>
          <w:bCs/>
        </w:rPr>
        <w:t xml:space="preserve">New ESAs / pipeline conversion.</w:t>
      </w:r>
      <w:r>
        <w:t xml:space="preserve"> </w:t>
      </w:r>
      <w:r>
        <w:t xml:space="preserve">ETR still cites a</w:t>
      </w:r>
      <w:r>
        <w:t xml:space="preserve"> </w:t>
      </w:r>
      <w:r>
        <w:rPr>
          <w:b/>
          <w:bCs/>
        </w:rPr>
        <w:t xml:space="preserve">7–12 GW data-center pipeline plus 3–5 GW of other industrial — all outside the plan</w:t>
      </w:r>
      <w:r>
        <w:t xml:space="preserve">, and at Investor Day floated</w:t>
      </w:r>
      <w:r>
        <w:t xml:space="preserve"> </w:t>
      </w:r>
      <w:r>
        <w:rPr>
          <w:b/>
          <w:bCs/>
        </w:rPr>
        <w:t xml:space="preserve">another 15–20 GW</w:t>
      </w:r>
      <w:r>
        <w:t xml:space="preserve"> </w:t>
      </w:r>
      <w:r>
        <w:t xml:space="preserve">of serveable large load next decade. Any newly signed ESA (data center or LNG/petrochem/steel) is the highest-signal catalyst.</w:t>
      </w:r>
    </w:p>
    <w:p>
      <w:pPr>
        <w:pStyle w:val="Compact"/>
        <w:numPr>
          <w:ilvl w:val="0"/>
          <w:numId w:val="1002"/>
        </w:numPr>
      </w:pPr>
      <w:r>
        <w:rPr>
          <w:b/>
          <w:bCs/>
        </w:rPr>
        <w:t xml:space="preserve">Minimum-bill economics.</w:t>
      </w:r>
      <w:r>
        <w:t xml:space="preserve"> </w:t>
      </w:r>
      <w:r>
        <w:t xml:space="preserve">Hyperscalers enter the plan only at contracted</w:t>
      </w:r>
      <w:r>
        <w:t xml:space="preserve"> </w:t>
      </w:r>
      <w:r>
        <w:rPr>
          <w:b/>
          <w:bCs/>
        </w:rPr>
        <w:t xml:space="preserve">minimum-bill</w:t>
      </w:r>
      <w:r>
        <w:t xml:space="preserve"> </w:t>
      </w:r>
      <w:r>
        <w:t xml:space="preserve">levels; as they ramp toward full load there's embedded upside management has deliberately not quantified. Watch for any framing of that sensitivity.</w:t>
      </w:r>
    </w:p>
    <w:p>
      <w:r>
        <w:pict>
          <v:rect style="width:0;height:1.5pt" o:hralign="center" o:hrstd="t" o:hr="t"/>
        </w:pict>
      </w:r>
    </w:p>
    <w:bookmarkEnd w:id="12"/>
    <w:bookmarkStart w:id="13" w:name="X1d63dcbbf6745e23fd3e915fffcdec058a4ab11"/>
    <w:p>
      <w:pPr>
        <w:pStyle w:val="Heading2"/>
      </w:pPr>
      <w:r>
        <w:t xml:space="preserve">4. Regulatory &amp; execution checkpoints (the risk/timeline items)</w:t>
      </w:r>
    </w:p>
    <w:p>
      <w:pPr>
        <w:pStyle w:val="Compact"/>
        <w:numPr>
          <w:ilvl w:val="0"/>
          <w:numId w:val="1003"/>
        </w:numPr>
      </w:pPr>
      <w:r>
        <w:rPr>
          <w:b/>
          <w:bCs/>
        </w:rPr>
        <w:t xml:space="preserve">Meta / Louisiana "Lightning Initiative":</w:t>
      </w:r>
      <w:r>
        <w:t xml:space="preserve"> </w:t>
      </w:r>
      <w:r>
        <w:t xml:space="preserve">LPSC directed a procedural schedule targeting a decision at the</w:t>
      </w:r>
      <w:r>
        <w:t xml:space="preserve"> </w:t>
      </w:r>
      <w:r>
        <w:rPr>
          <w:b/>
          <w:bCs/>
        </w:rPr>
        <w:t xml:space="preserve">December B&amp;E meeting</w:t>
      </w:r>
      <w:r>
        <w:t xml:space="preserve">. Look for confirmation the timeline is holding — this underwrites ~$14B+ of the plan.</w:t>
      </w:r>
    </w:p>
    <w:p>
      <w:pPr>
        <w:pStyle w:val="Compact"/>
        <w:numPr>
          <w:ilvl w:val="0"/>
          <w:numId w:val="1003"/>
        </w:numPr>
      </w:pPr>
      <w:r>
        <w:rPr>
          <w:b/>
          <w:bCs/>
        </w:rPr>
        <w:t xml:space="preserve">Mississippi Winter Storm Fern securitization (~$200M):</w:t>
      </w:r>
      <w:r>
        <w:t xml:space="preserve"> </w:t>
      </w:r>
      <w:r>
        <w:t xml:space="preserve">filing due</w:t>
      </w:r>
      <w:r>
        <w:t xml:space="preserve"> </w:t>
      </w:r>
      <w:r>
        <w:rPr>
          <w:b/>
          <w:bCs/>
        </w:rPr>
        <w:t xml:space="preserve">by Oct. 5</w:t>
      </w:r>
      <w:r>
        <w:t xml:space="preserve">, decision expected within 60 days. Balance-sheet-friendly.</w:t>
      </w:r>
    </w:p>
    <w:p>
      <w:pPr>
        <w:pStyle w:val="Compact"/>
        <w:numPr>
          <w:ilvl w:val="0"/>
          <w:numId w:val="1003"/>
        </w:numPr>
      </w:pPr>
      <w:r>
        <w:rPr>
          <w:b/>
          <w:bCs/>
        </w:rPr>
        <w:t xml:space="preserve">Entergy Arkansas base rate case:</w:t>
      </w:r>
      <w:r>
        <w:t xml:space="preserve"> </w:t>
      </w:r>
      <w:r>
        <w:t xml:space="preserve">~$45M request (&lt;2%); ETR plans to resume the forward-test-year FRP after resolution.</w:t>
      </w:r>
    </w:p>
    <w:p>
      <w:pPr>
        <w:pStyle w:val="Compact"/>
        <w:numPr>
          <w:ilvl w:val="0"/>
          <w:numId w:val="1003"/>
        </w:numPr>
      </w:pPr>
      <w:r>
        <w:rPr>
          <w:b/>
          <w:bCs/>
        </w:rPr>
        <w:t xml:space="preserve">Orange County Advanced Power Station (OCAPS):</w:t>
      </w:r>
      <w:r>
        <w:t xml:space="preserve"> </w:t>
      </w:r>
      <w:r>
        <w:t xml:space="preserve">expected</w:t>
      </w:r>
      <w:r>
        <w:t xml:space="preserve"> </w:t>
      </w:r>
      <w:r>
        <w:rPr>
          <w:b/>
          <w:bCs/>
        </w:rPr>
        <w:t xml:space="preserve">fully online in late summer 2026</w:t>
      </w:r>
      <w:r>
        <w:t xml:space="preserve"> </w:t>
      </w:r>
      <w:r>
        <w:t xml:space="preserve">— watch for confirmation it's on schedule/budget, a proof point for the "design one, build many" execution thesis.</w:t>
      </w:r>
    </w:p>
    <w:p>
      <w:pPr>
        <w:pStyle w:val="Compact"/>
        <w:numPr>
          <w:ilvl w:val="0"/>
          <w:numId w:val="1003"/>
        </w:numPr>
      </w:pPr>
      <w:r>
        <w:rPr>
          <w:b/>
          <w:bCs/>
        </w:rPr>
        <w:t xml:space="preserve">Solar / renewables:</w:t>
      </w:r>
      <w:r>
        <w:t xml:space="preserve"> </w:t>
      </w:r>
      <w:r>
        <w:t xml:space="preserve">1,600+ MW of active RFPs and 4,500+ MW in negotiation (~2/3 owned); about half is</w:t>
      </w:r>
      <w:r>
        <w:t xml:space="preserve"> </w:t>
      </w:r>
      <w:r>
        <w:rPr>
          <w:i/>
          <w:iCs/>
        </w:rPr>
        <w:t xml:space="preserve">not yet in the plan</w:t>
      </w:r>
      <w:r>
        <w:t xml:space="preserve"> </w:t>
      </w:r>
      <w:r>
        <w:t xml:space="preserve">— another upside lever.</w:t>
      </w:r>
    </w:p>
    <w:p>
      <w:pPr>
        <w:pStyle w:val="Compact"/>
        <w:numPr>
          <w:ilvl w:val="0"/>
          <w:numId w:val="1003"/>
        </w:numPr>
      </w:pPr>
      <w:r>
        <w:rPr>
          <w:b/>
          <w:bCs/>
        </w:rPr>
        <w:t xml:space="preserve">Longer-dated optionality:</w:t>
      </w:r>
      <w:r>
        <w:t xml:space="preserve"> </w:t>
      </w:r>
      <w:r>
        <w:t xml:space="preserve">CCS MOU with Mitsubishi (targeting 8th unit at 50% of first-unit cost) and new nuclear (AP1000/SMR) — narrative only; management is explicit it "won't put customers or operating companies at risk."</w:t>
      </w:r>
    </w:p>
    <w:p>
      <w:r>
        <w:pict>
          <v:rect style="width:0;height:1.5pt" o:hralign="center" o:hrstd="t" o:hr="t"/>
        </w:pict>
      </w:r>
    </w:p>
    <w:bookmarkEnd w:id="13"/>
    <w:bookmarkStart w:id="14" w:name="X21a92a8ac03d04240523ead88ce4ba86d249abc"/>
    <w:p>
      <w:pPr>
        <w:pStyle w:val="Heading2"/>
      </w:pPr>
      <w:r>
        <w:t xml:space="preserve">5. Balance sheet &amp; financing (the thing that could break the story)</w:t>
      </w:r>
    </w:p>
    <w:p>
      <w:pPr>
        <w:pStyle w:val="FirstParagraph"/>
      </w:pPr>
      <w:r>
        <w:t xml:space="preserve">The premium multiple rests on ETR funding a doubled capex plan</w:t>
      </w:r>
      <w:r>
        <w:t xml:space="preserve"> </w:t>
      </w:r>
      <w:r>
        <w:rPr>
          <w:b/>
          <w:bCs/>
        </w:rPr>
        <w:t xml:space="preserve">without a dilutive equity shock</w:t>
      </w:r>
      <w:r>
        <w:t xml:space="preserve">:</w:t>
      </w:r>
    </w:p>
    <w:p>
      <w:pPr>
        <w:pStyle w:val="Compact"/>
        <w:numPr>
          <w:ilvl w:val="0"/>
          <w:numId w:val="1004"/>
        </w:numPr>
      </w:pPr>
      <w:r>
        <w:rPr>
          <w:b/>
          <w:bCs/>
        </w:rPr>
        <w:t xml:space="preserve">Equity need ~$7B, at the low end of the 10–15%-of-capex target</w:t>
      </w:r>
      <w:r>
        <w:t xml:space="preserve">; management said</w:t>
      </w:r>
      <w:r>
        <w:t xml:space="preserve"> </w:t>
      </w:r>
      <w:r>
        <w:rPr>
          <w:b/>
          <w:bCs/>
        </w:rPr>
        <w:t xml:space="preserve">~60% is already sourced</w:t>
      </w:r>
      <w:r>
        <w:t xml:space="preserve"> </w:t>
      </w:r>
      <w:r>
        <w:t xml:space="preserve">(ATM forwards + a June block), with the remainder not needed until</w:t>
      </w:r>
      <w:r>
        <w:t xml:space="preserve"> </w:t>
      </w:r>
      <w:r>
        <w:rPr>
          <w:b/>
          <w:bCs/>
        </w:rPr>
        <w:t xml:space="preserve">2028</w:t>
      </w:r>
      <w:r>
        <w:t xml:space="preserve">. Reaffirmation of "no near-term equity needed" matters for the multiple.</w:t>
      </w:r>
    </w:p>
    <w:p>
      <w:pPr>
        <w:pStyle w:val="Compact"/>
        <w:numPr>
          <w:ilvl w:val="0"/>
          <w:numId w:val="1004"/>
        </w:numPr>
      </w:pPr>
      <w:r>
        <w:rPr>
          <w:b/>
          <w:bCs/>
        </w:rPr>
        <w:t xml:space="preserve">FFO/debt ≥15% on Moody's basis</w:t>
      </w:r>
      <w:r>
        <w:t xml:space="preserve"> </w:t>
      </w:r>
      <w:r>
        <w:t xml:space="preserve">through the forecast, with ~100 bps of cushion — ETR closed 2025 as the highest FFO/debt among peers. Watch for any language on rating-agency headroom given the construction ramp.</w:t>
      </w:r>
    </w:p>
    <w:p>
      <w:pPr>
        <w:pStyle w:val="Compact"/>
        <w:numPr>
          <w:ilvl w:val="0"/>
          <w:numId w:val="1004"/>
        </w:numPr>
      </w:pPr>
      <w:r>
        <w:rPr>
          <w:b/>
          <w:bCs/>
        </w:rPr>
        <w:t xml:space="preserve">~$3B of hybrids</w:t>
      </w:r>
      <w:r>
        <w:t xml:space="preserve"> </w:t>
      </w:r>
      <w:r>
        <w:t xml:space="preserve">assumed at Parent;</w:t>
      </w:r>
      <w:r>
        <w:t xml:space="preserve"> </w:t>
      </w:r>
      <w:r>
        <w:rPr>
          <w:b/>
          <w:bCs/>
        </w:rPr>
        <w:t xml:space="preserve">6% dividend growth</w:t>
      </w:r>
      <w:r>
        <w:t xml:space="preserve"> </w:t>
      </w:r>
      <w:r>
        <w:t xml:space="preserve">maintained (payout ratio drifting down as EPS outgrows it).</w:t>
      </w:r>
    </w:p>
    <w:p>
      <w:pPr>
        <w:pStyle w:val="Compact"/>
        <w:numPr>
          <w:ilvl w:val="0"/>
          <w:numId w:val="1004"/>
        </w:numPr>
      </w:pPr>
      <w:r>
        <w:t xml:space="preserve">Customer advance payments from hyperscalers are a real cash-flow tailwind (Q1 OCF jumped on advance receipts) — a differentiator vs. peers funding pure rate-base growth.</w:t>
      </w:r>
    </w:p>
    <w:p>
      <w:r>
        <w:pict>
          <v:rect style="width:0;height:1.5pt" o:hralign="center" o:hrstd="t" o:hr="t"/>
        </w:pict>
      </w:r>
    </w:p>
    <w:bookmarkEnd w:id="14"/>
    <w:bookmarkStart w:id="15" w:name="X34ef8591eaab134e82a61870c66c778613e31ec"/>
    <w:p>
      <w:pPr>
        <w:pStyle w:val="Heading2"/>
      </w:pPr>
      <w:r>
        <w:t xml:space="preserve">6. Overhangs &amp; risks</w:t>
      </w:r>
    </w:p>
    <w:p>
      <w:pPr>
        <w:pStyle w:val="Compact"/>
        <w:numPr>
          <w:ilvl w:val="0"/>
          <w:numId w:val="1005"/>
        </w:numPr>
      </w:pPr>
      <w:r>
        <w:rPr>
          <w:b/>
          <w:bCs/>
        </w:rPr>
        <w:t xml:space="preserve">Storm season.</w:t>
      </w:r>
      <w:r>
        <w:t xml:space="preserve"> </w:t>
      </w:r>
      <w:r>
        <w:t xml:space="preserve">Gulf Coast hurricane exposure is the perennial Q3 wildcard. ETR has hardened the system and won faster securitization mechanisms (LA, TX, now MS), and says a $1B storm is ~70% smaller relative to its balance sheet than a few years ago — but a major storm is the classic disruptor.</w:t>
      </w:r>
    </w:p>
    <w:p>
      <w:pPr>
        <w:pStyle w:val="Compact"/>
        <w:numPr>
          <w:ilvl w:val="0"/>
          <w:numId w:val="1005"/>
        </w:numPr>
      </w:pPr>
      <w:r>
        <w:rPr>
          <w:b/>
          <w:bCs/>
        </w:rPr>
        <w:t xml:space="preserve">Data-center concentration / durability.</w:t>
      </w:r>
      <w:r>
        <w:t xml:space="preserve"> </w:t>
      </w:r>
      <w:r>
        <w:t xml:space="preserve">The bull case leans heavily on a handful of hyperscalers (Meta, AWS, Google). The 10-K risk language flags the possibility that "contracted or expected load growth does not materialize or is not sustained." Minimum-bill/termination provisions mitigate but don't eliminate this.</w:t>
      </w:r>
    </w:p>
    <w:p>
      <w:pPr>
        <w:pStyle w:val="Compact"/>
        <w:numPr>
          <w:ilvl w:val="0"/>
          <w:numId w:val="1005"/>
        </w:numPr>
      </w:pPr>
      <w:r>
        <w:rPr>
          <w:b/>
          <w:bCs/>
        </w:rPr>
        <w:t xml:space="preserve">Regulatory fatigue.</w:t>
      </w:r>
      <w:r>
        <w:t xml:space="preserve"> </w:t>
      </w:r>
      <w:r>
        <w:t xml:space="preserve">Rapidly rising capex tests commission goodwill; so far LA/AR/MS/TX mechanisms have been constructive, and ETR argues residential bills stay below the national average because data centers absorb fixed costs (~$7B customer benefit). Any adverse regulatory signal would hit the growth premium.</w:t>
      </w:r>
    </w:p>
    <w:p>
      <w:pPr>
        <w:pStyle w:val="Compact"/>
        <w:numPr>
          <w:ilvl w:val="0"/>
          <w:numId w:val="1005"/>
        </w:numPr>
      </w:pPr>
      <w:r>
        <w:rPr>
          <w:b/>
          <w:bCs/>
        </w:rPr>
        <w:t xml:space="preserve">Rate/multiple sensitivity.</w:t>
      </w:r>
      <w:r>
        <w:t xml:space="preserve"> </w:t>
      </w:r>
      <w:r>
        <w:t xml:space="preserve">As a bond-proxy-plus-growth name at ~26x, ETR is exposed to a back-up in long rates on top of company-specific risk.</w:t>
      </w:r>
    </w:p>
    <w:p>
      <w:r>
        <w:pict>
          <v:rect style="width:0;height:1.5pt" o:hralign="center" o:hrstd="t" o:hr="t"/>
        </w:pict>
      </w:r>
    </w:p>
    <w:bookmarkEnd w:id="15"/>
    <w:bookmarkStart w:id="16" w:name="bottom-line"/>
    <w:p>
      <w:pPr>
        <w:pStyle w:val="Heading2"/>
      </w:pPr>
      <w:r>
        <w:t xml:space="preserve">Bottom line</w:t>
      </w:r>
    </w:p>
    <w:p>
      <w:pPr>
        <w:pStyle w:val="FirstParagraph"/>
      </w:pPr>
      <w:r>
        <w:t xml:space="preserve">Q2 is likely to be a "</w:t>
      </w:r>
      <w:r>
        <w:rPr>
          <w:b/>
          <w:bCs/>
        </w:rPr>
        <w:t xml:space="preserve">reaffirm and reassure</w:t>
      </w:r>
      <w:r>
        <w:t xml:space="preserve">" quarter: expect the ~</w:t>
      </w:r>
      <m:oMath>
        <m:r>
          <m:t>4.25</m:t>
        </m:r>
        <m:r>
          <m:rPr>
            <m:sty m:val="p"/>
          </m:rPr>
          <m:t>–</m:t>
        </m:r>
      </m:oMath>
      <w:r>
        <w:t xml:space="preserve">4.45 2026 guide to hold, a softer-looking Q2 headline versus the</w:t>
      </w:r>
      <w:r>
        <w:t xml:space="preserve"> </w:t>
      </w:r>
      <m:oMath>
        <m:r>
          <m:t>1.05</m:t>
        </m:r>
        <m:r>
          <m:t>c</m:t>
        </m:r>
        <m:r>
          <m:t>o</m:t>
        </m:r>
        <m:r>
          <m:t>m</m:t>
        </m:r>
        <m:r>
          <m:t>p</m:t>
        </m:r>
        <m:r>
          <m:t>g</m:t>
        </m:r>
        <m:r>
          <m:t>i</m:t>
        </m:r>
        <m:r>
          <m:t>v</m:t>
        </m:r>
        <m:r>
          <m:t>e</m:t>
        </m:r>
        <m:r>
          <m:t>n</m:t>
        </m:r>
        <m:r>
          <m:t>t</m:t>
        </m:r>
        <m:r>
          <m:t>h</m:t>
        </m:r>
        <m:r>
          <m:t>e</m:t>
        </m:r>
        <m:r>
          <m:t>p</m:t>
        </m:r>
        <m:r>
          <m:t>r</m:t>
        </m:r>
        <m:r>
          <m:t>e</m:t>
        </m:r>
        <m:r>
          <m:rPr>
            <m:sty m:val="p"/>
          </m:rPr>
          <m:t>−</m:t>
        </m:r>
        <m:r>
          <m:t>f</m:t>
        </m:r>
        <m:r>
          <m:t>l</m:t>
        </m:r>
        <m:r>
          <m:t>a</m:t>
        </m:r>
        <m:r>
          <m:t>g</m:t>
        </m:r>
        <m:r>
          <m:t>g</m:t>
        </m:r>
        <m:r>
          <m:t>e</m:t>
        </m:r>
        <m:r>
          <m:t>d</m:t>
        </m:r>
        <m:r>
          <m:t> </m:t>
        </m:r>
      </m:oMath>
      <w:r>
        <w:t xml:space="preserve">0.15 O&amp;M timing headwind, and continued strong industrial/data-center volumes. With the stock up ~36% over the past year and trading at a clear premium to the group, the incremental move will be driven less by the EPS print and more by</w:t>
      </w:r>
      <w:r>
        <w:t xml:space="preserve"> </w:t>
      </w:r>
      <w:r>
        <w:rPr>
          <w:b/>
          <w:bCs/>
        </w:rPr>
        <w:t xml:space="preserve">(1) new ESA signings / pipeline conversion, (2) confirmation of the Louisiana-Meta regulatory timeline into December, (3) equity-financing reassurance, and (4) execution proof points (OCAPS online, transmission/cost savings).</w:t>
      </w:r>
      <w:r>
        <w:t xml:space="preserve"> </w:t>
      </w:r>
      <w:r>
        <w:t xml:space="preserve">Given elevated expectations, the risk/reward into the print is skewed toward "meets and holds = fine, needs fresh growth signposts to work higher."</w:t>
      </w:r>
    </w:p>
    <w:p>
      <w:pPr>
        <w:pStyle w:val="BodyText"/>
      </w:pPr>
      <w:r>
        <w:rPr>
          <w:i/>
          <w:iCs/>
        </w:rPr>
        <w:t xml:space="preserve">Preview based on ETR's Q1 2026 earnings call/release, the June 9, 2026 Investor Day, the Q2 2025 release (comparison base), and market pricing through July 28, 2026. Not investment advice.</w:t>
      </w:r>
    </w:p>
    <w:bookmarkEnd w:id="16"/>
    <w:bookmarkEnd w:id="17"/>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2026-07-29T01:05:43Z</dcterms:created>
  <dcterms:modified xsi:type="dcterms:W3CDTF">2026-07-29T01:05:43Z</dcterms:modified>
</cp:coreProperties>
</file>

<file path=docProps/custom.xml><?xml version="1.0" encoding="utf-8"?>
<Properties xmlns="http://schemas.openxmlformats.org/officeDocument/2006/custom-properties" xmlns:vt="http://schemas.openxmlformats.org/officeDocument/2006/docPropsVTypes"/>
</file>