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tr-earnings-predictions--2026-07-29"/>
    <w:p>
      <w:pPr>
        <w:pStyle w:val="Heading1"/>
      </w:pPr>
      <w:r>
        <w:t xml:space="preserve">ETR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~$0.93 vs. cons $0.96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Industrial retail sales growth (y/y, 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~13% vs. cons/guide ~10%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Other O&amp;M y/y increase (guided headwind)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0.15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 </m:t>
              </m:r>
            </m:oMath>
            <w:r>
              <w:t xml:space="preserve">0.15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(reaffirm</w:t>
            </w:r>
            <w:r>
              <w:t xml:space="preserve"> </w:t>
            </w:r>
            <m:oMath>
              <m:r>
                <m:t>4.25</m:t>
              </m:r>
              <m:r>
                <m:rPr>
                  <m:sty m:val="p"/>
                </m:rPr>
                <m:t>−</m:t>
              </m:r>
            </m:oMath>
            <w:r>
              <w:t xml:space="preserve">4.45 range)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~$4.35 vs. cons $4.40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retail/industrial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vs. cons ~10%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adjusted EPS CAGR guidance (through 2030/2035)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&gt;8% vs. cons ~8%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-0.4% (STABILIZE)</w:t>
            </w:r>
          </w:p>
        </w:tc>
        <w:tc>
          <w:tcPr/>
          <w:p>
            <w:pPr>
              <w:pStyle w:val="Compact"/>
            </w:pPr>
            <w:r>
              <w:t xml:space="preserve">The Q2 EPS miss is a known, pre-flagged O&amp;M timing headwind already embedded in a consensus that's been trimmed repeatedly (Zacks ESP -3.82%, KeyCorp cut to</w:t>
            </w:r>
            <w:r>
              <w:t xml:space="preserve"> </w:t>
            </w:r>
            <m:oMath>
              <m:r>
                <m:t>0.95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i</m:t>
              </m:r>
              <m:r>
                <m:t>t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sSup>
                <m:e>
                  <m:r>
                    <m:t>n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t</m:t>
              </m:r>
              <m:r>
                <m:t>t</m:t>
              </m:r>
              <m:r>
                <m:t>r</m:t>
              </m:r>
              <m:r>
                <m:t>i</m:t>
              </m:r>
              <m:r>
                <m:t>g</m:t>
              </m:r>
              <m:r>
                <m:t>g</m:t>
              </m:r>
              <m:r>
                <m:t>e</m:t>
              </m:r>
              <m:r>
                <m:t>r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i</m:t>
              </m:r>
              <m:r>
                <m:t>a</m:t>
              </m:r>
              <m:r>
                <m:t>l</m:t>
              </m:r>
              <m:r>
                <m:t>f</m:t>
              </m:r>
              <m:r>
                <m:t>o</m:t>
              </m:r>
              <m:r>
                <m:t>r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c</m:t>
              </m:r>
              <m:r>
                <m:t>u</m:t>
              </m:r>
              <m:r>
                <m:t>t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rPr>
                  <m:sty m:val="p"/>
                </m:rPr>
                <m:t>(</m:t>
              </m:r>
            </m:oMath>
            <w:r>
              <w:t xml:space="preserve">4.25-$4.45) and the &gt;8% EPS CAGR through 2030/2035 are reaffirmed with no new incremental catalyst (Meta economics/Lightning Initiative decision not due until December), so any initial reaction should hold rather than extend or reverse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2026-07-29T01:06:09Z</dcterms:created>
  <dcterms:modified xsi:type="dcterms:W3CDTF">2026-07-29T01:06:09Z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