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tr-earnings-predictions--2026-07-29"/>
    <w:p>
      <w:pPr>
        <w:pStyle w:val="Heading1"/>
      </w:pPr>
      <w:r>
        <w:t xml:space="preserve">ETR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~$1.15 vs. cons $1.13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~$3.68B vs. cons $3.61B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industrial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~13.0% vs. cons 12.0%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~$4.35 midpoint vs. cons $4.40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Adjusted EPS outlook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~$5.05 midpoint vs. cons $5.08 (FY2027)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Industrial sales growth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~10.0% vs. cons 11.0%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Potential ESA additions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~13.5 GW midpoint vs. cons 13.5 GW (next 24 months)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ETR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-2.0% (FOLLOW-THROUGH)</w:t>
            </w:r>
          </w:p>
        </w:tc>
        <w:tc>
          <w:tcPr/>
          <w:p>
            <w:pPr>
              <w:pStyle w:val="Compact"/>
            </w:pPr>
            <w:r>
              <w:t xml:space="preserve">The predicted Q2 EPS beat is only ~</w:t>
            </w:r>
            <m:oMath>
              <m:r>
                <m:t>0.02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,</m:t>
              </m:r>
              <m:r>
                <m:t>w</m:t>
              </m:r>
              <m:r>
                <m:t>h</m:t>
              </m:r>
              <m:r>
                <m:t>i</m:t>
              </m:r>
              <m:r>
                <m:t>l</m:t>
              </m:r>
              <m:r>
                <m:t>e</m:t>
              </m:r>
              <m:r>
                <m:t>u</m:t>
              </m:r>
              <m:r>
                <m:t>n</m:t>
              </m:r>
              <m:r>
                <m:t>c</m:t>
              </m:r>
              <m:r>
                <m:t>h</m:t>
              </m:r>
              <m:r>
                <m:t>a</m:t>
              </m:r>
              <m:r>
                <m:t>n</m:t>
              </m:r>
              <m:r>
                <m:t>g</m:t>
              </m:r>
              <m:r>
                <m:t>e</m:t>
              </m:r>
              <m:r>
                <m:t>d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i</m:t>
              </m:r>
              <m:r>
                <m:t>m</m:t>
              </m:r>
              <m:r>
                <m:t>p</m:t>
              </m:r>
              <m:r>
                <m:t>l</m:t>
              </m:r>
              <m:r>
                <m:t>i</m:t>
              </m:r>
              <m:r>
                <m:t>e</m:t>
              </m:r>
              <m:r>
                <m:t>s</m:t>
              </m:r>
              <m:r>
                <m:t>a</m:t>
              </m:r>
              <m:r>
                <m:t> </m:t>
              </m:r>
            </m:oMath>
            <w:r>
              <w:t xml:space="preserve">4.35 midpoint versus</w:t>
            </w:r>
            <w:r>
              <w:t xml:space="preserve"> </w:t>
            </w:r>
            <m:oMath>
              <m:r>
                <m:t>4.40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e</m:t>
              </m:r>
              <m:r>
                <m:t>n</m:t>
              </m:r>
              <m:r>
                <m:t>s</m:t>
              </m:r>
              <m:r>
                <m:t>u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A</m:t>
              </m:r>
              <m:r>
                <m:t>f</m:t>
              </m:r>
              <m:r>
                <m:t>t</m:t>
              </m:r>
              <m:r>
                <m:t>e</m:t>
              </m:r>
              <m:r>
                <m:t>r</m:t>
              </m:r>
              <m:r>
                <m:t>p</m:t>
              </m:r>
              <m:r>
                <m:t>r</m:t>
              </m:r>
              <m:r>
                <m:t>e</m:t>
              </m:r>
              <m:r>
                <m:t>d</m:t>
              </m:r>
              <m:r>
                <m:t>i</m:t>
              </m:r>
              <m:r>
                <m:t>c</m:t>
              </m:r>
              <m:r>
                <m:t>t</m:t>
              </m:r>
              <m:r>
                <m:t>e</m:t>
              </m:r>
              <m:r>
                <m:t>d</m:t>
              </m:r>
              <m:r>
                <m:t>f</m:t>
              </m:r>
              <m:r>
                <m:t>i</m:t>
              </m:r>
              <m:r>
                <m:t>r</m:t>
              </m:r>
              <m:r>
                <m:t>s</m:t>
              </m:r>
              <m:r>
                <m:t>t</m:t>
              </m:r>
              <m:r>
                <m:rPr>
                  <m:sty m:val="p"/>
                </m:rPr>
                <m:t>−</m:t>
              </m:r>
              <m:r>
                <m:t>h</m:t>
              </m:r>
              <m:r>
                <m:t>a</m:t>
              </m:r>
              <m:r>
                <m:t>l</m:t>
              </m:r>
              <m:r>
                <m:t>f</m:t>
              </m:r>
              <m:r>
                <m:t>E</m:t>
              </m:r>
              <m:r>
                <m:t>P</m:t>
              </m:r>
              <m:r>
                <m:t>S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2.01, the midpoint requires ~$2.34 in H2 versus roughly $2.41 embedded in consensus, creating modest downward revision pressure despite the quarterly beat.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2026-07-29T01:07:39Z</dcterms:created>
  <dcterms:modified xsi:type="dcterms:W3CDTF">2026-07-29T01:07:39Z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