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a0b0160bd82c91cac3501d7ea9f76c4145cb93"/>
    <w:p>
      <w:pPr>
        <w:pStyle w:val="Heading1"/>
      </w:pPr>
      <w:r>
        <w:t xml:space="preserve">Entergy (NYSE: ETR) — 2026 Q2 Earnings Preview</w:t>
      </w:r>
    </w:p>
    <w:p>
      <w:pPr>
        <w:pStyle w:val="BlockText"/>
      </w:pPr>
      <w:r>
        <w:rPr>
          <w:b/>
          <w:bCs/>
        </w:rPr>
        <w:t xml:space="preserve">Date clarification:</w:t>
      </w:r>
      <w:r>
        <w:t xml:space="preserve"> </w:t>
      </w:r>
      <w:r>
        <w:t xml:space="preserve">July 29, 2026 is today, not tomorrow. Entergy scheduled its second-quarter results</w:t>
      </w:r>
      <w:r>
        <w:t xml:space="preserve"> </w:t>
      </w:r>
      <w:r>
        <w:rPr>
          <w:b/>
          <w:bCs/>
        </w:rPr>
        <w:t xml:space="preserve">before the market open on Wednesday, July 29</w:t>
      </w:r>
      <w:r>
        <w:t xml:space="preserve">, followed by its earnings call at</w:t>
      </w:r>
      <w:r>
        <w:t xml:space="preserve"> </w:t>
      </w:r>
      <w:r>
        <w:rPr>
          <w:b/>
          <w:bCs/>
        </w:rPr>
        <w:t xml:space="preserve">10:00 a.m. Central Time</w:t>
      </w:r>
      <w:r>
        <w:t xml:space="preserve">. This preview reflects information available immediately ahead of the release. (</w:t>
      </w:r>
      <w:hyperlink r:id="rId9">
        <w:r>
          <w:rPr>
            <w:rStyle w:val="Hyperlink"/>
          </w:rPr>
          <w:t xml:space="preserve">investors.entergy.com</w:t>
        </w:r>
      </w:hyperlink>
      <w:r>
        <w:t xml:space="preserve">)</w:t>
      </w:r>
    </w:p>
    <w:bookmarkStart w:id="10" w:name="executive-view"/>
    <w:p>
      <w:pPr>
        <w:pStyle w:val="Heading2"/>
      </w:pPr>
      <w:r>
        <w:t xml:space="preserve">Executive view</w:t>
      </w:r>
    </w:p>
    <w:p>
      <w:pPr>
        <w:pStyle w:val="FirstParagraph"/>
      </w:pPr>
      <w:r>
        <w:t xml:space="preserve">For Entergy, the quarterly EPS number is unlikely to be the main issue. The more important question is whether management can reinforce the ambitious growth framework unveiled at its June Investor Day without introducing new regulatory, execution or financing concerns.</w:t>
      </w:r>
    </w:p>
    <w:p>
      <w:pPr>
        <w:pStyle w:val="BodyText"/>
      </w:pPr>
      <w:r>
        <w:t xml:space="preserve">The company is now presenting itself as one of the utility sector’s fastest-growing platforms, driven by hyperscale data centers and traditional Gulf Coast industrial development. That story carries a high valuation and increasingly demanding expectations. A routine guidance reaffirmation may therefore be necessary but not sufficient for a positive stock reaction.</w:t>
      </w:r>
    </w:p>
    <w:p>
      <w:pPr>
        <w:pStyle w:val="BodyText"/>
      </w:pPr>
      <w:r>
        <w:t xml:space="preserve">The central items to watch are:</w:t>
      </w:r>
    </w:p>
    <w:p>
      <w:pPr>
        <w:pStyle w:val="Compact"/>
        <w:numPr>
          <w:ilvl w:val="0"/>
          <w:numId w:val="1001"/>
        </w:numPr>
      </w:pPr>
      <w:r>
        <w:rPr>
          <w:b/>
          <w:bCs/>
        </w:rPr>
        <w:t xml:space="preserve">2026 guidance and the amount of second-half earnings required to achieve it</w:t>
      </w:r>
    </w:p>
    <w:p>
      <w:pPr>
        <w:pStyle w:val="Compact"/>
        <w:numPr>
          <w:ilvl w:val="0"/>
          <w:numId w:val="1001"/>
        </w:numPr>
      </w:pPr>
      <w:r>
        <w:rPr>
          <w:b/>
          <w:bCs/>
        </w:rPr>
        <w:t xml:space="preserve">Industrial and data-center sales growth</w:t>
      </w:r>
    </w:p>
    <w:p>
      <w:pPr>
        <w:pStyle w:val="Compact"/>
        <w:numPr>
          <w:ilvl w:val="0"/>
          <w:numId w:val="1001"/>
        </w:numPr>
      </w:pPr>
      <w:r>
        <w:rPr>
          <w:b/>
          <w:bCs/>
        </w:rPr>
        <w:t xml:space="preserve">Louisiana regulatory developments, particularly Meta and Cottonwood</w:t>
      </w:r>
    </w:p>
    <w:p>
      <w:pPr>
        <w:pStyle w:val="Compact"/>
        <w:numPr>
          <w:ilvl w:val="0"/>
          <w:numId w:val="1001"/>
        </w:numPr>
      </w:pPr>
      <w:r>
        <w:rPr>
          <w:b/>
          <w:bCs/>
        </w:rPr>
        <w:t xml:space="preserve">Execution of the sharply expanded capital plan</w:t>
      </w:r>
    </w:p>
    <w:p>
      <w:pPr>
        <w:pStyle w:val="Compact"/>
        <w:numPr>
          <w:ilvl w:val="0"/>
          <w:numId w:val="1001"/>
        </w:numPr>
      </w:pPr>
      <w:r>
        <w:rPr>
          <w:b/>
          <w:bCs/>
        </w:rPr>
        <w:t xml:space="preserve">Equity dilution and credit metrics</w:t>
      </w:r>
    </w:p>
    <w:p>
      <w:r>
        <w:pict>
          <v:rect style="width:0;height:1.5pt" o:hralign="center" o:hrstd="t" o:hr="t"/>
        </w:pict>
      </w:r>
    </w:p>
    <w:bookmarkEnd w:id="10"/>
    <w:bookmarkStart w:id="13" w:name="expectations-and-relevant-benchmarks"/>
    <w:p>
      <w:pPr>
        <w:pStyle w:val="Heading2"/>
      </w:pPr>
      <w:r>
        <w:t xml:space="preserve">Expectations and relevant benchmarks</w:t>
      </w:r>
    </w:p>
    <w:p>
      <w:pPr>
        <w:pStyle w:val="FirstParagraph"/>
      </w:pPr>
      <w:r>
        <w:t xml:space="preserve">Public estimate aggregators are unusually dispersed: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public expectation</w:t>
            </w:r>
          </w:p>
        </w:tc>
      </w:tr>
      <w:tr>
        <w:tc>
          <w:tcPr/>
          <w:p>
            <w:pPr>
              <w:pStyle w:val="Compact"/>
            </w:pPr>
            <w:r>
              <w:t xml:space="preserve">Q2 adjusted EPS</w:t>
            </w:r>
          </w:p>
        </w:tc>
        <w:tc>
          <w:tcPr/>
          <w:p>
            <w:pPr>
              <w:pStyle w:val="Compact"/>
              <w:jc w:val="right"/>
            </w:pPr>
            <w:r>
              <w:t xml:space="preserve">Approximately</w:t>
            </w:r>
            <w:r>
              <w:t xml:space="preserve"> </w:t>
            </w:r>
            <m:oMath>
              <m:r>
                <m:t>0.94</m:t>
              </m:r>
              <m:r>
                <m:rPr>
                  <m:sty m:val="p"/>
                </m:rPr>
                <m:t>–</m:t>
              </m:r>
            </m:oMath>
            <w:r>
              <w:rPr>
                <w:b/>
                <w:bCs/>
              </w:rPr>
              <w:t xml:space="preserve">1.09</w:t>
            </w:r>
          </w:p>
        </w:tc>
      </w:tr>
      <w:tr>
        <w:tc>
          <w:tcPr/>
          <w:p>
            <w:pPr>
              <w:pStyle w:val="Compact"/>
            </w:pPr>
            <w:r>
              <w:t xml:space="preserve">Q2 revenue</w:t>
            </w:r>
          </w:p>
        </w:tc>
        <w:tc>
          <w:tcPr/>
          <w:p>
            <w:pPr>
              <w:pStyle w:val="Compact"/>
              <w:jc w:val="right"/>
            </w:pPr>
            <w:r>
              <w:t xml:space="preserve">Approximately</w:t>
            </w:r>
            <w:r>
              <w:t xml:space="preserve"> </w:t>
            </w:r>
            <m:oMath>
              <m:r>
                <m:t>3.5</m:t>
              </m:r>
              <m:r>
                <m:rPr>
                  <m:sty m:val="p"/>
                </m:rPr>
                <m:t>–</m:t>
              </m:r>
            </m:oMath>
            <w:r>
              <w:rPr>
                <w:b/>
                <w:bCs/>
              </w:rPr>
              <w:t xml:space="preserve">3.6 billion</w:t>
            </w:r>
          </w:p>
        </w:tc>
      </w:tr>
      <w:tr>
        <w:tc>
          <w:tcPr/>
          <w:p>
            <w:pPr>
              <w:pStyle w:val="Compact"/>
            </w:pPr>
            <w:r>
              <w:t xml:space="preserve">Q2 2025 adjusted EPS</w:t>
            </w:r>
          </w:p>
        </w:tc>
        <w:tc>
          <w:tcPr/>
          <w:p>
            <w:pPr>
              <w:pStyle w:val="Compact"/>
              <w:jc w:val="right"/>
            </w:pPr>
            <w:r>
              <w:rPr>
                <w:b/>
                <w:bCs/>
              </w:rPr>
              <w:t xml:space="preserve">$1.05</w:t>
            </w:r>
          </w:p>
        </w:tc>
      </w:tr>
      <w:tr>
        <w:tc>
          <w:tcPr/>
          <w:p>
            <w:pPr>
              <w:pStyle w:val="Compact"/>
            </w:pPr>
            <w:r>
              <w:t xml:space="preserve">2026 adjusted EPS guidance</w:t>
            </w:r>
          </w:p>
        </w:tc>
        <w:tc>
          <w:tcPr/>
          <w:p>
            <w:pPr>
              <w:pStyle w:val="Compact"/>
              <w:jc w:val="right"/>
            </w:pPr>
            <m:oMath>
              <m:r>
                <m:t>4.25</m:t>
              </m:r>
              <m:r>
                <m:rPr>
                  <m:sty m:val="p"/>
                </m:rPr>
                <m:t>–</m:t>
              </m:r>
            </m:oMath>
            <w:r>
              <w:rPr>
                <w:b/>
                <w:bCs/>
              </w:rPr>
              <w:t xml:space="preserve">4.45</w:t>
            </w:r>
          </w:p>
        </w:tc>
      </w:tr>
      <w:tr>
        <w:tc>
          <w:tcPr/>
          <w:p>
            <w:pPr>
              <w:pStyle w:val="Compact"/>
            </w:pPr>
            <w:r>
              <w:t xml:space="preserve">Public FY2026 consensus</w:t>
            </w:r>
          </w:p>
        </w:tc>
        <w:tc>
          <w:tcPr/>
          <w:p>
            <w:pPr>
              <w:pStyle w:val="Compact"/>
              <w:jc w:val="right"/>
            </w:pPr>
            <w:r>
              <w:t xml:space="preserve">Roughly</w:t>
            </w:r>
            <w:r>
              <w:t xml:space="preserve"> </w:t>
            </w:r>
            <w:r>
              <w:rPr>
                <w:b/>
                <w:bCs/>
              </w:rPr>
              <w:t xml:space="preserve">$4.40</w:t>
            </w:r>
          </w:p>
        </w:tc>
      </w:tr>
    </w:tbl>
    <w:p>
      <w:pPr>
        <w:pStyle w:val="BodyText"/>
      </w:pPr>
      <w:r>
        <w:t xml:space="preserve">Different data providers show Q2 EPS estimates of $0.94, $1.01 and $1.09, so investors should avoid treating any single consensus figure as definitive. The more useful benchmark is whether the result and commentary support full-year EPS near the upper half of Entergy’s range. (</w:t>
      </w:r>
      <w:hyperlink r:id="rId11">
        <w:r>
          <w:rPr>
            <w:rStyle w:val="Hyperlink"/>
          </w:rPr>
          <w:t xml:space="preserve">marketbeat.com</w:t>
        </w:r>
      </w:hyperlink>
      <w:r>
        <w:t xml:space="preserve">)</w:t>
      </w:r>
    </w:p>
    <w:p>
      <w:pPr>
        <w:pStyle w:val="BodyText"/>
      </w:pPr>
      <w:r>
        <w:t xml:space="preserve">Entergy earned</w:t>
      </w:r>
      <w:r>
        <w:t xml:space="preserve"> </w:t>
      </w:r>
      <m:oMath>
        <m:r>
          <m:t>0.86</m:t>
        </m:r>
        <m:r>
          <m:t>o</m:t>
        </m:r>
        <m:r>
          <m:t>f</m:t>
        </m:r>
        <m:r>
          <m:t>a</m:t>
        </m:r>
        <m:r>
          <m:t>d</m:t>
        </m:r>
        <m:r>
          <m:t>j</m:t>
        </m:r>
        <m:r>
          <m:t>u</m:t>
        </m:r>
        <m:r>
          <m:t>s</m:t>
        </m:r>
        <m:r>
          <m:t>t</m:t>
        </m:r>
        <m:r>
          <m:t>e</m:t>
        </m:r>
        <m:r>
          <m:t>d</m:t>
        </m:r>
        <m:r>
          <m:t>E</m:t>
        </m:r>
        <m:r>
          <m:t>P</m:t>
        </m:r>
        <m:r>
          <m:t>S</m:t>
        </m:r>
        <m:r>
          <m:t>i</m:t>
        </m:r>
        <m:r>
          <m:t>n</m:t>
        </m:r>
        <m:r>
          <m:t>Q</m:t>
        </m:r>
        <m:r>
          <m:t>1</m:t>
        </m:r>
        <m:r>
          <m:rPr>
            <m:sty m:val="p"/>
          </m:rPr>
          <m:t>*</m:t>
        </m:r>
        <m:r>
          <m:rPr>
            <m:sty m:val="p"/>
          </m:rPr>
          <m:t>*</m:t>
        </m:r>
        <m:r>
          <m:t>a</m:t>
        </m:r>
        <m:r>
          <m:t>n</m:t>
        </m:r>
        <m:r>
          <m:t>d</m:t>
        </m:r>
        <m:r>
          <m:t>m</m:t>
        </m:r>
        <m:r>
          <m:t>a</m:t>
        </m:r>
        <m:r>
          <m:t>i</m:t>
        </m:r>
        <m:r>
          <m:t>n</m:t>
        </m:r>
        <m:r>
          <m:t>t</m:t>
        </m:r>
        <m:r>
          <m:t>a</m:t>
        </m:r>
        <m:r>
          <m:t>i</m:t>
        </m:r>
        <m:r>
          <m:t>n</m:t>
        </m:r>
        <m:r>
          <m:t>e</m:t>
        </m:r>
        <m:r>
          <m:t>d</m:t>
        </m:r>
        <m:r>
          <m:t>i</m:t>
        </m:r>
        <m:r>
          <m:t>t</m:t>
        </m:r>
        <m:r>
          <m:t>s</m:t>
        </m:r>
        <m:r>
          <m:rPr>
            <m:sty m:val="p"/>
          </m:rPr>
          <m:t>*</m:t>
        </m:r>
        <m:r>
          <m:rPr>
            <m:sty m:val="p"/>
          </m:rPr>
          <m:t>*</m:t>
        </m:r>
      </m:oMath>
      <w:r>
        <w:rPr>
          <w:b/>
          <w:bCs/>
        </w:rPr>
        <w:t xml:space="preserve">4.25–</w:t>
      </w:r>
      <m:oMath>
        <m:r>
          <m:t>4.45</m:t>
        </m:r>
        <m:r>
          <m:rPr>
            <m:sty m:val="p"/>
          </m:rPr>
          <m:t>*</m:t>
        </m:r>
        <m:r>
          <m:rPr>
            <m:sty m:val="p"/>
          </m:rPr>
          <m:t>*</m:t>
        </m:r>
        <m:r>
          <m:t>f</m:t>
        </m:r>
        <m:r>
          <m:t>u</m:t>
        </m:r>
        <m:r>
          <m:t>l</m:t>
        </m:r>
        <m:r>
          <m:t>l</m:t>
        </m:r>
        <m:r>
          <m:rPr>
            <m:sty m:val="p"/>
          </m:rPr>
          <m:t>−</m:t>
        </m:r>
        <m:r>
          <m:t>y</m:t>
        </m:r>
        <m:r>
          <m:t>e</m:t>
        </m:r>
        <m:r>
          <m:t>a</m:t>
        </m:r>
        <m:r>
          <m:t>r</m:t>
        </m:r>
        <m:r>
          <m:t>r</m:t>
        </m:r>
        <m:r>
          <m:t>a</m:t>
        </m:r>
        <m:r>
          <m:t>n</m:t>
        </m:r>
        <m:r>
          <m:t>g</m:t>
        </m:r>
        <m:r>
          <m:t>e</m:t>
        </m:r>
        <m:r>
          <m:rPr>
            <m:sty m:val="p"/>
          </m:rPr>
          <m:t>.</m:t>
        </m:r>
        <m:r>
          <m:t>D</m:t>
        </m:r>
        <m:r>
          <m:t>e</m:t>
        </m:r>
        <m:r>
          <m:t>p</m:t>
        </m:r>
        <m:r>
          <m:t>e</m:t>
        </m:r>
        <m:r>
          <m:t>n</m:t>
        </m:r>
        <m:r>
          <m:t>d</m:t>
        </m:r>
        <m:r>
          <m:t>i</m:t>
        </m:r>
        <m:r>
          <m:t>n</m:t>
        </m:r>
        <m:r>
          <m:t>g</m:t>
        </m:r>
        <m:r>
          <m:t>o</m:t>
        </m:r>
        <m:r>
          <m:t>n</m:t>
        </m:r>
        <m:r>
          <m:t>w</m:t>
        </m:r>
        <m:r>
          <m:t>h</m:t>
        </m:r>
        <m:r>
          <m:t>e</m:t>
        </m:r>
        <m:r>
          <m:t>r</m:t>
        </m:r>
        <m:r>
          <m:t>e</m:t>
        </m:r>
        <m:r>
          <m:t>Q</m:t>
        </m:r>
        <m:r>
          <m:t>2</m:t>
        </m:r>
        <m:r>
          <m:t>f</m:t>
        </m:r>
        <m:r>
          <m:t>a</m:t>
        </m:r>
        <m:r>
          <m:t>l</m:t>
        </m:r>
        <m:r>
          <m:t>l</m:t>
        </m:r>
        <m:r>
          <m:t>s</m:t>
        </m:r>
        <m:r>
          <m:t>w</m:t>
        </m:r>
        <m:r>
          <m:t>i</m:t>
        </m:r>
        <m:r>
          <m:t>t</m:t>
        </m:r>
        <m:r>
          <m:t>h</m:t>
        </m:r>
        <m:r>
          <m:t>i</m:t>
        </m:r>
        <m:r>
          <m:t>n</m:t>
        </m:r>
        <m:r>
          <m:t>t</m:t>
        </m:r>
        <m:r>
          <m:t>h</m:t>
        </m:r>
        <m:r>
          <m:t>e</m:t>
        </m:r>
        <m:r>
          <m:t>p</m:t>
        </m:r>
        <m:r>
          <m:t>u</m:t>
        </m:r>
        <m:r>
          <m:t>b</m:t>
        </m:r>
        <m:r>
          <m:t>l</m:t>
        </m:r>
        <m:r>
          <m:t>i</m:t>
        </m:r>
        <m:r>
          <m:t>c</m:t>
        </m:r>
        <m:r>
          <m:t>e</m:t>
        </m:r>
        <m:r>
          <m:t>s</m:t>
        </m:r>
        <m:r>
          <m:t>t</m:t>
        </m:r>
        <m:r>
          <m:t>i</m:t>
        </m:r>
        <m:r>
          <m:t>m</m:t>
        </m:r>
        <m:r>
          <m:t>a</m:t>
        </m:r>
        <m:r>
          <m:t>t</m:t>
        </m:r>
        <m:r>
          <m:t>e</m:t>
        </m:r>
        <m:r>
          <m:t>r</m:t>
        </m:r>
        <m:r>
          <m:t>a</m:t>
        </m:r>
        <m:r>
          <m:t>n</m:t>
        </m:r>
        <m:r>
          <m:t>g</m:t>
        </m:r>
        <m:r>
          <m:t>e</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b</m:t>
        </m:r>
        <m:r>
          <m:t>e</m:t>
        </m:r>
        <m:r>
          <m:t>r</m:t>
        </m:r>
        <m:r>
          <m:t>o</m:t>
        </m:r>
        <m:r>
          <m:t>u</m:t>
        </m:r>
        <m:r>
          <m:t>g</m:t>
        </m:r>
        <m:r>
          <m:t>h</m:t>
        </m:r>
        <m:r>
          <m:t>l</m:t>
        </m:r>
        <m:r>
          <m:t>y</m:t>
        </m:r>
        <m:r>
          <m:rPr>
            <m:sty m:val="p"/>
          </m:rPr>
          <m:t>*</m:t>
        </m:r>
        <m:r>
          <m:rPr>
            <m:sty m:val="p"/>
          </m:rPr>
          <m:t>*</m:t>
        </m:r>
      </m:oMath>
      <w:r>
        <w:rPr>
          <w:b/>
          <w:bCs/>
        </w:rPr>
        <w:t xml:space="preserve">1.80–</w:t>
      </w:r>
      <m:oMath>
        <m:r>
          <m:t>1.95</m:t>
        </m:r>
        <m:r>
          <m:rPr>
            <m:sty m:val="p"/>
          </m:rPr>
          <m:t>*</m:t>
        </m:r>
        <m:r>
          <m:rPr>
            <m:sty m:val="p"/>
          </m:rPr>
          <m:t>*</m:t>
        </m:r>
        <m:r>
          <m:rPr>
            <m:sty m:val="p"/>
          </m:rPr>
          <m:t>,</m:t>
        </m:r>
        <m:r>
          <m:t>l</m:t>
        </m:r>
        <m:r>
          <m:t>e</m:t>
        </m:r>
        <m:r>
          <m:t>a</m:t>
        </m:r>
        <m:r>
          <m:t>v</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2.30–$2.65</w:t>
      </w:r>
      <w:r>
        <w:t xml:space="preserve"> </w:t>
      </w:r>
      <w:r>
        <w:t xml:space="preserve">to earn in the second half. That is not inherently concerning given the company’s seasonal earnings profile, but management’s confidence in the remaining cadence will matter. (</w:t>
      </w:r>
      <w:hyperlink r:id="rId12">
        <w:r>
          <w:rPr>
            <w:rStyle w:val="Hyperlink"/>
          </w:rPr>
          <w:t xml:space="preserve">entergy.com</w:t>
        </w:r>
      </w:hyperlink>
      <w:r>
        <w:t xml:space="preserve">)</w:t>
      </w:r>
    </w:p>
    <w:p>
      <w:r>
        <w:pict>
          <v:rect style="width:0;height:1.5pt" o:hralign="center" o:hrstd="t" o:hr="t"/>
        </w:pict>
      </w:r>
    </w:p>
    <w:bookmarkEnd w:id="13"/>
    <w:bookmarkStart w:id="14" w:name="X44392dc4f57d7b4f812bc5381df90cdff3a52ec"/>
    <w:p>
      <w:pPr>
        <w:pStyle w:val="Heading2"/>
      </w:pPr>
      <w:r>
        <w:t xml:space="preserve">1. Guidance: an affirmation is expected, but tone matters</w:t>
      </w:r>
    </w:p>
    <w:p>
      <w:pPr>
        <w:pStyle w:val="FirstParagraph"/>
      </w:pPr>
      <w:r>
        <w:t xml:space="preserve">The base case is for Entergy to reaffirm 2026 adjusted EPS guidance. Management said in April that the company was firmly on track, and only six weeks later used Investor Day to lay out an even stronger long-term framework.</w:t>
      </w:r>
    </w:p>
    <w:p>
      <w:pPr>
        <w:pStyle w:val="BodyText"/>
      </w:pPr>
      <w:r>
        <w:t xml:space="preserve">There is a known Q2 headwind: management previously forecast that</w:t>
      </w:r>
      <w:r>
        <w:t xml:space="preserve"> </w:t>
      </w:r>
      <w:r>
        <w:rPr>
          <w:b/>
          <w:bCs/>
        </w:rPr>
        <w:t xml:space="preserve">other O&amp;M would be about $0.15 per share higher year over year</w:t>
      </w:r>
      <w:r>
        <w:t xml:space="preserve">, principally because of vegetation-management spending and the timing of nuclear maintenance. Consequently, a modest year-over-year EPS decline would not necessarily signal deterioration.</w:t>
      </w:r>
    </w:p>
    <w:p>
      <w:pPr>
        <w:pStyle w:val="BodyText"/>
      </w:pPr>
      <w:r>
        <w:t xml:space="preserve">Investors should focus on:</w:t>
      </w:r>
    </w:p>
    <w:p>
      <w:pPr>
        <w:pStyle w:val="Compact"/>
        <w:numPr>
          <w:ilvl w:val="0"/>
          <w:numId w:val="1002"/>
        </w:numPr>
      </w:pPr>
      <w:r>
        <w:t xml:space="preserve">Whether management still expects earnings in the</w:t>
      </w:r>
      <w:r>
        <w:t xml:space="preserve"> </w:t>
      </w:r>
      <w:r>
        <w:rPr>
          <w:b/>
          <w:bCs/>
        </w:rPr>
        <w:t xml:space="preserve">upper half</w:t>
      </w:r>
      <w:r>
        <w:t xml:space="preserve"> </w:t>
      </w:r>
      <w:r>
        <w:t xml:space="preserve">of the annual range</w:t>
      </w:r>
    </w:p>
    <w:p>
      <w:pPr>
        <w:pStyle w:val="Compact"/>
        <w:numPr>
          <w:ilvl w:val="0"/>
          <w:numId w:val="1002"/>
        </w:numPr>
      </w:pPr>
      <w:r>
        <w:t xml:space="preserve">Whether higher interest expense or share count has changed the earnings cadence</w:t>
      </w:r>
    </w:p>
    <w:p>
      <w:pPr>
        <w:pStyle w:val="Compact"/>
        <w:numPr>
          <w:ilvl w:val="0"/>
          <w:numId w:val="1002"/>
        </w:numPr>
      </w:pPr>
      <w:r>
        <w:t xml:space="preserve">Whether O&amp;M timing creates an offsetting benefit later in 2026</w:t>
      </w:r>
    </w:p>
    <w:p>
      <w:pPr>
        <w:pStyle w:val="Compact"/>
        <w:numPr>
          <w:ilvl w:val="0"/>
          <w:numId w:val="1002"/>
        </w:numPr>
      </w:pPr>
      <w:r>
        <w:t xml:space="preserve">Whether management identifies any new storm, nuclear or regulatory costs</w:t>
      </w:r>
    </w:p>
    <w:p>
      <w:pPr>
        <w:pStyle w:val="Compact"/>
        <w:numPr>
          <w:ilvl w:val="0"/>
          <w:numId w:val="1002"/>
        </w:numPr>
      </w:pPr>
      <w:r>
        <w:t xml:space="preserve">Whether the company changes any annual sales assumptions</w:t>
      </w:r>
    </w:p>
    <w:p>
      <w:pPr>
        <w:pStyle w:val="FirstParagraph"/>
      </w:pPr>
      <w:r>
        <w:t xml:space="preserve">A guidance increase would be clearly positive, but it is not the most likely outcome so soon after Investor Day. A plain reaffirmation accompanied by strong sales and regulatory commentary would still be constructive.</w:t>
      </w:r>
    </w:p>
    <w:p>
      <w:r>
        <w:pict>
          <v:rect style="width:0;height:1.5pt" o:hralign="center" o:hrstd="t" o:hr="t"/>
        </w:pict>
      </w:r>
    </w:p>
    <w:bookmarkEnd w:id="14"/>
    <w:bookmarkStart w:id="16" w:name="X3f9e35990c573fd80b956a8b0878029ac7161c8"/>
    <w:p>
      <w:pPr>
        <w:pStyle w:val="Heading2"/>
      </w:pPr>
      <w:r>
        <w:t xml:space="preserve">2. Industrial sales are the key operating KPI</w:t>
      </w:r>
    </w:p>
    <w:p>
      <w:pPr>
        <w:pStyle w:val="FirstParagraph"/>
      </w:pPr>
      <w:r>
        <w:t xml:space="preserve">Entergy’s Q1 weather-adjusted retail sales rose</w:t>
      </w:r>
      <w:r>
        <w:t xml:space="preserve"> </w:t>
      </w:r>
      <w:r>
        <w:rPr>
          <w:b/>
          <w:bCs/>
        </w:rPr>
        <w:t xml:space="preserve">6%</w:t>
      </w:r>
      <w:r>
        <w:t xml:space="preserve">, led by approximately</w:t>
      </w:r>
      <w:r>
        <w:t xml:space="preserve"> </w:t>
      </w:r>
      <w:r>
        <w:rPr>
          <w:b/>
          <w:bCs/>
        </w:rPr>
        <w:t xml:space="preserve">15% industrial growth</w:t>
      </w:r>
      <w:r>
        <w:t xml:space="preserve">. Data centers, primary metals and transportation customers were important contributors.</w:t>
      </w:r>
    </w:p>
    <w:p>
      <w:pPr>
        <w:pStyle w:val="BodyText"/>
      </w:pPr>
      <w:r>
        <w:t xml:space="preserve">For comparison, Q2 2025 industrial volume increased</w:t>
      </w:r>
      <w:r>
        <w:t xml:space="preserve"> </w:t>
      </w:r>
      <w:r>
        <w:rPr>
          <w:b/>
          <w:bCs/>
        </w:rPr>
        <w:t xml:space="preserve">11.8%</w:t>
      </w:r>
      <w:r>
        <w:t xml:space="preserve">, while weather-adjusted total retail sales increased</w:t>
      </w:r>
      <w:r>
        <w:t xml:space="preserve"> </w:t>
      </w:r>
      <w:r>
        <w:rPr>
          <w:b/>
          <w:bCs/>
        </w:rPr>
        <w:t xml:space="preserve">4.5%</w:t>
      </w:r>
      <w:r>
        <w:t xml:space="preserve">. The upcoming quarter therefore faces a respectable prior-year comparison.</w:t>
      </w:r>
    </w:p>
    <w:p>
      <w:pPr>
        <w:pStyle w:val="BodyText"/>
      </w:pPr>
      <w:r>
        <w:t xml:space="preserve">The important questions are:</w:t>
      </w:r>
    </w:p>
    <w:p>
      <w:pPr>
        <w:pStyle w:val="Compact"/>
        <w:numPr>
          <w:ilvl w:val="0"/>
          <w:numId w:val="1003"/>
        </w:numPr>
      </w:pPr>
      <w:r>
        <w:t xml:space="preserve">Did industrial growth remain in the low- to mid-teens?</w:t>
      </w:r>
    </w:p>
    <w:p>
      <w:pPr>
        <w:pStyle w:val="Compact"/>
        <w:numPr>
          <w:ilvl w:val="0"/>
          <w:numId w:val="1003"/>
        </w:numPr>
      </w:pPr>
      <w:r>
        <w:t xml:space="preserve">Are already contracted projects ramping on schedule?</w:t>
      </w:r>
    </w:p>
    <w:p>
      <w:pPr>
        <w:pStyle w:val="Compact"/>
        <w:numPr>
          <w:ilvl w:val="0"/>
          <w:numId w:val="1003"/>
        </w:numPr>
      </w:pPr>
      <w:r>
        <w:t xml:space="preserve">Are data-center customers consuming above their contractual minimums?</w:t>
      </w:r>
    </w:p>
    <w:p>
      <w:pPr>
        <w:pStyle w:val="Compact"/>
        <w:numPr>
          <w:ilvl w:val="0"/>
          <w:numId w:val="1003"/>
        </w:numPr>
      </w:pPr>
      <w:r>
        <w:t xml:space="preserve">Is traditional industrial demand—LNG, steel, petrochemicals and industrial gases—still broad-based?</w:t>
      </w:r>
    </w:p>
    <w:p>
      <w:pPr>
        <w:pStyle w:val="Compact"/>
        <w:numPr>
          <w:ilvl w:val="0"/>
          <w:numId w:val="1003"/>
        </w:numPr>
      </w:pPr>
      <w:r>
        <w:t xml:space="preserve">Are residential and commercial volumes stabilizing after declining on a weather-adjusted basis in Q1?</w:t>
      </w:r>
    </w:p>
    <w:p>
      <w:pPr>
        <w:pStyle w:val="FirstParagraph"/>
      </w:pPr>
      <w:r>
        <w:t xml:space="preserve">The long-term plan assumes approximately</w:t>
      </w:r>
      <w:r>
        <w:t xml:space="preserve"> </w:t>
      </w:r>
      <w:r>
        <w:rPr>
          <w:b/>
          <w:bCs/>
        </w:rPr>
        <w:t xml:space="preserve">16% industrial sales growth</w:t>
      </w:r>
      <w:r>
        <w:t xml:space="preserve"> </w:t>
      </w:r>
      <w:r>
        <w:t xml:space="preserve">and</w:t>
      </w:r>
      <w:r>
        <w:t xml:space="preserve"> </w:t>
      </w:r>
      <w:r>
        <w:rPr>
          <w:b/>
          <w:bCs/>
        </w:rPr>
        <w:t xml:space="preserve">9% total retail sales growth</w:t>
      </w:r>
      <w:r>
        <w:t xml:space="preserve"> </w:t>
      </w:r>
      <w:r>
        <w:t xml:space="preserve">through 2030. Entergy only includes hyperscale customers after signing an electric-service agreement and models them at minimum-bill levels, providing some conservatism. (</w:t>
      </w:r>
      <w:hyperlink r:id="rId15">
        <w:r>
          <w:rPr>
            <w:rStyle w:val="Hyperlink"/>
          </w:rPr>
          <w:t xml:space="preserve">s201.q4cdn.com</w:t>
        </w:r>
      </w:hyperlink>
      <w:r>
        <w:t xml:space="preserve">)</w:t>
      </w:r>
    </w:p>
    <w:p>
      <w:pPr>
        <w:pStyle w:val="BodyText"/>
      </w:pPr>
      <w:r>
        <w:t xml:space="preserve">A particularly bullish signal would be another signed customer agreement without a corresponding decline in the company’s uncontracted pipeline.</w:t>
      </w:r>
    </w:p>
    <w:p>
      <w:r>
        <w:pict>
          <v:rect style="width:0;height:1.5pt" o:hralign="center" o:hrstd="t" o:hr="t"/>
        </w:pict>
      </w:r>
    </w:p>
    <w:bookmarkEnd w:id="16"/>
    <w:bookmarkStart w:id="17" w:name="Xecaa800e3f853696178f611886e1bc9b364ea26"/>
    <w:p>
      <w:pPr>
        <w:pStyle w:val="Heading2"/>
      </w:pPr>
      <w:r>
        <w:t xml:space="preserve">3. The data-center pipeline—and the quality of the contracts</w:t>
      </w:r>
    </w:p>
    <w:p>
      <w:pPr>
        <w:pStyle w:val="FirstParagraph"/>
      </w:pPr>
      <w:r>
        <w:t xml:space="preserve">At Investor Day, Entergy identified potential additions to its base case of:</w:t>
      </w:r>
    </w:p>
    <w:p>
      <w:pPr>
        <w:pStyle w:val="Compact"/>
        <w:numPr>
          <w:ilvl w:val="0"/>
          <w:numId w:val="1004"/>
        </w:numPr>
      </w:pPr>
      <w:r>
        <w:rPr>
          <w:b/>
          <w:bCs/>
        </w:rPr>
        <w:t xml:space="preserve">7–12 GW of data-center load</w:t>
      </w:r>
    </w:p>
    <w:p>
      <w:pPr>
        <w:pStyle w:val="Compact"/>
        <w:numPr>
          <w:ilvl w:val="0"/>
          <w:numId w:val="1004"/>
        </w:numPr>
      </w:pPr>
      <w:r>
        <w:rPr>
          <w:b/>
          <w:bCs/>
        </w:rPr>
        <w:t xml:space="preserve">3–5 GW from other industries</w:t>
      </w:r>
    </w:p>
    <w:p>
      <w:pPr>
        <w:pStyle w:val="Compact"/>
        <w:numPr>
          <w:ilvl w:val="0"/>
          <w:numId w:val="1004"/>
        </w:numPr>
      </w:pPr>
      <w:r>
        <w:rPr>
          <w:b/>
          <w:bCs/>
        </w:rPr>
        <w:t xml:space="preserve">10–17 GW in total</w:t>
      </w:r>
    </w:p>
    <w:p>
      <w:pPr>
        <w:pStyle w:val="FirstParagraph"/>
      </w:pPr>
      <w:r>
        <w:t xml:space="preserve">None of that potential load is included in the base case unless and until it meets the company’s forecasting criteria. (</w:t>
      </w:r>
      <w:hyperlink r:id="rId15">
        <w:r>
          <w:rPr>
            <w:rStyle w:val="Hyperlink"/>
          </w:rPr>
          <w:t xml:space="preserve">s201.q4cdn.com</w:t>
        </w:r>
      </w:hyperlink>
      <w:r>
        <w:t xml:space="preserve">)</w:t>
      </w:r>
    </w:p>
    <w:p>
      <w:pPr>
        <w:pStyle w:val="BodyText"/>
      </w:pPr>
      <w:r>
        <w:t xml:space="preserve">Investors should listen for:</w:t>
      </w:r>
    </w:p>
    <w:p>
      <w:pPr>
        <w:pStyle w:val="Compact"/>
        <w:numPr>
          <w:ilvl w:val="0"/>
          <w:numId w:val="1005"/>
        </w:numPr>
      </w:pPr>
      <w:r>
        <w:t xml:space="preserve">An updated number of signed electric-service agreements</w:t>
      </w:r>
    </w:p>
    <w:p>
      <w:pPr>
        <w:pStyle w:val="Compact"/>
        <w:numPr>
          <w:ilvl w:val="0"/>
          <w:numId w:val="1005"/>
        </w:numPr>
      </w:pPr>
      <w:r>
        <w:t xml:space="preserve">Whether the 7–12 GW data-center pipeline remains intact</w:t>
      </w:r>
    </w:p>
    <w:p>
      <w:pPr>
        <w:pStyle w:val="Compact"/>
        <w:numPr>
          <w:ilvl w:val="0"/>
          <w:numId w:val="1005"/>
        </w:numPr>
      </w:pPr>
      <w:r>
        <w:t xml:space="preserve">The mix between expansions by existing customers and new customers</w:t>
      </w:r>
    </w:p>
    <w:p>
      <w:pPr>
        <w:pStyle w:val="Compact"/>
        <w:numPr>
          <w:ilvl w:val="0"/>
          <w:numId w:val="1005"/>
        </w:numPr>
      </w:pPr>
      <w:r>
        <w:t xml:space="preserve">Expected timing of the next major contracts</w:t>
      </w:r>
    </w:p>
    <w:p>
      <w:pPr>
        <w:pStyle w:val="Compact"/>
        <w:numPr>
          <w:ilvl w:val="0"/>
          <w:numId w:val="1005"/>
        </w:numPr>
      </w:pPr>
      <w:r>
        <w:t xml:space="preserve">Minimum-bill levels, contract duration and termination protection</w:t>
      </w:r>
    </w:p>
    <w:p>
      <w:pPr>
        <w:pStyle w:val="Compact"/>
        <w:numPr>
          <w:ilvl w:val="0"/>
          <w:numId w:val="1005"/>
        </w:numPr>
      </w:pPr>
      <w:r>
        <w:t xml:space="preserve">Customer credit requirements and advance construction payments</w:t>
      </w:r>
    </w:p>
    <w:p>
      <w:pPr>
        <w:pStyle w:val="FirstParagraph"/>
      </w:pPr>
      <w:r>
        <w:t xml:space="preserve">Management does not disclose the precise economics of its minimum bills. Any additional detail showing that customer payments begin early enough to support credit metrics during construction would be valuable.</w:t>
      </w:r>
    </w:p>
    <w:p>
      <w:r>
        <w:pict>
          <v:rect style="width:0;height:1.5pt" o:hralign="center" o:hrstd="t" o:hr="t"/>
        </w:pict>
      </w:r>
    </w:p>
    <w:bookmarkEnd w:id="17"/>
    <w:bookmarkStart w:id="19" w:name="X2bdd5df8885b1a3b88395621543b8c10ac590c3"/>
    <w:p>
      <w:pPr>
        <w:pStyle w:val="Heading2"/>
      </w:pPr>
      <w:r>
        <w:t xml:space="preserve">4. Louisiana regulation is the most important source of near-term risk</w:t>
      </w:r>
    </w:p>
    <w:p>
      <w:pPr>
        <w:pStyle w:val="FirstParagraph"/>
      </w:pPr>
      <w:r>
        <w:t xml:space="preserve">Entergy’s Meta agreements are central to the growth thesis. The latest expansion requires seven additional combined-cycle units, transmission and battery infrastructure, with more than $15 billion of associated investment discussed in the Louisiana filing. The company expects a decision under the Louisiana Public Service Commission’s expedited process around the end of 2026.</w:t>
      </w:r>
    </w:p>
    <w:p>
      <w:pPr>
        <w:pStyle w:val="BodyText"/>
      </w:pPr>
      <w:r>
        <w:t xml:space="preserve">However, the proposed acquisition of the Cottonwood generating facility has introduced new scrutiny. A Louisiana regulatory consultant reportedly estimated that Cottonwood could increase the average customer bill by $8 or more, while Entergy argues that the plant was part of its broader resource planning before Meta selected Louisiana and is required for multiple customers—not solely the Meta project. (</w:t>
      </w:r>
      <w:hyperlink r:id="rId18">
        <w:r>
          <w:rPr>
            <w:rStyle w:val="Hyperlink"/>
          </w:rPr>
          <w:t xml:space="preserve">axios.com</w:t>
        </w:r>
      </w:hyperlink>
      <w:r>
        <w:t xml:space="preserve">)</w:t>
      </w:r>
    </w:p>
    <w:p>
      <w:pPr>
        <w:pStyle w:val="BodyText"/>
      </w:pPr>
      <w:r>
        <w:t xml:space="preserve">This makes the call’s regulatory discussion unusually important. Investors need clarity on:</w:t>
      </w:r>
    </w:p>
    <w:p>
      <w:pPr>
        <w:pStyle w:val="Compact"/>
        <w:numPr>
          <w:ilvl w:val="0"/>
          <w:numId w:val="1006"/>
        </w:numPr>
      </w:pPr>
      <w:r>
        <w:t xml:space="preserve">Whether Cottonwood remains on schedule for approval</w:t>
      </w:r>
    </w:p>
    <w:p>
      <w:pPr>
        <w:pStyle w:val="Compact"/>
        <w:numPr>
          <w:ilvl w:val="0"/>
          <w:numId w:val="1006"/>
        </w:numPr>
      </w:pPr>
      <w:r>
        <w:t xml:space="preserve">How management separates Cottonwood’s economics from the Meta buildout</w:t>
      </w:r>
    </w:p>
    <w:p>
      <w:pPr>
        <w:pStyle w:val="Compact"/>
        <w:numPr>
          <w:ilvl w:val="0"/>
          <w:numId w:val="1006"/>
        </w:numPr>
      </w:pPr>
      <w:r>
        <w:t xml:space="preserve">Whether any cost allocation or contract changes are being considered</w:t>
      </w:r>
    </w:p>
    <w:p>
      <w:pPr>
        <w:pStyle w:val="Compact"/>
        <w:numPr>
          <w:ilvl w:val="0"/>
          <w:numId w:val="1006"/>
        </w:numPr>
      </w:pPr>
      <w:r>
        <w:t xml:space="preserve">Whether the controversy affects the approval schedule for Meta-related generation</w:t>
      </w:r>
    </w:p>
    <w:p>
      <w:pPr>
        <w:pStyle w:val="Compact"/>
        <w:numPr>
          <w:ilvl w:val="0"/>
          <w:numId w:val="1006"/>
        </w:numPr>
      </w:pPr>
      <w:r>
        <w:t xml:space="preserve">How Entergy will substantiate its projected customer savings</w:t>
      </w:r>
    </w:p>
    <w:p>
      <w:pPr>
        <w:pStyle w:val="Compact"/>
        <w:numPr>
          <w:ilvl w:val="0"/>
          <w:numId w:val="1006"/>
        </w:numPr>
      </w:pPr>
      <w:r>
        <w:t xml:space="preserve">Whether Louisiana’s new ratepayer-protection framework changes future agreements</w:t>
      </w:r>
    </w:p>
    <w:p>
      <w:pPr>
        <w:pStyle w:val="FirstParagraph"/>
      </w:pPr>
      <w:r>
        <w:t xml:space="preserve">A credible rebuttal supported by specific cost-allocation details would reduce risk. Vague assurances would leave the issue unresolved.</w:t>
      </w:r>
    </w:p>
    <w:p>
      <w:r>
        <w:pict>
          <v:rect style="width:0;height:1.5pt" o:hralign="center" o:hrstd="t" o:hr="t"/>
        </w:pict>
      </w:r>
    </w:p>
    <w:bookmarkEnd w:id="19"/>
    <w:bookmarkStart w:id="23" w:name="Xd8a606e4c5e7c9a50c3f8e80bd921493bf3bedd"/>
    <w:p>
      <w:pPr>
        <w:pStyle w:val="Heading2"/>
      </w:pPr>
      <w:r>
        <w:t xml:space="preserve">5. Capital-plan execution is becoming as important as demand</w:t>
      </w:r>
    </w:p>
    <w:p>
      <w:pPr>
        <w:pStyle w:val="FirstParagraph"/>
      </w:pPr>
      <w:r>
        <w:t xml:space="preserve">At Investor Day, Entergy outlined a</w:t>
      </w:r>
      <w:r>
        <w:t xml:space="preserve"> </w:t>
      </w:r>
      <m:oMath>
        <m:r>
          <m:t>66.5</m:t>
        </m:r>
        <m:r>
          <m:t>b</m:t>
        </m:r>
        <m:r>
          <m:t>i</m:t>
        </m:r>
        <m:r>
          <m:t>l</m:t>
        </m:r>
        <m:r>
          <m:t>l</m:t>
        </m:r>
        <m:r>
          <m:t>i</m:t>
        </m:r>
        <m:r>
          <m:t>o</m:t>
        </m:r>
        <m:r>
          <m:t>n</m:t>
        </m:r>
        <m:r>
          <m:t>f</m:t>
        </m:r>
        <m:r>
          <m:t>i</m:t>
        </m:r>
        <m:r>
          <m:t>v</m:t>
        </m:r>
        <m:r>
          <m:t>e</m:t>
        </m:r>
        <m:r>
          <m:rPr>
            <m:sty m:val="p"/>
          </m:rPr>
          <m:t>−</m:t>
        </m:r>
        <m:r>
          <m:t>y</m:t>
        </m:r>
        <m:r>
          <m:t>e</m:t>
        </m:r>
        <m:r>
          <m:t>a</m:t>
        </m:r>
        <m:r>
          <m:t>r</m:t>
        </m:r>
        <m:r>
          <m:t>c</m:t>
        </m:r>
        <m:r>
          <m:t>a</m:t>
        </m:r>
        <m:r>
          <m:t>p</m:t>
        </m:r>
        <m:r>
          <m:t>i</m:t>
        </m:r>
        <m:r>
          <m:t>t</m:t>
        </m:r>
        <m:r>
          <m:t>a</m:t>
        </m:r>
        <m:r>
          <m:t>l</m:t>
        </m:r>
        <m:r>
          <m:t>p</m:t>
        </m:r>
        <m:r>
          <m:t>l</m:t>
        </m:r>
        <m:r>
          <m:t>a</m:t>
        </m:r>
        <m:r>
          <m:t>n</m:t>
        </m:r>
        <m:r>
          <m:rPr>
            <m:sty m:val="p"/>
          </m:rPr>
          <m:t>*</m:t>
        </m:r>
        <m:r>
          <m:rPr>
            <m:sty m:val="p"/>
          </m:rPr>
          <m:t>*</m:t>
        </m:r>
        <m:r>
          <m:rPr>
            <m:sty m:val="p"/>
          </m:rPr>
          <m:t>,</m:t>
        </m:r>
        <m:r>
          <m:t>a</m:t>
        </m:r>
        <m:r>
          <m:t>p</m:t>
        </m:r>
        <m:r>
          <m:t>p</m:t>
        </m:r>
        <m:r>
          <m:t>r</m:t>
        </m:r>
        <m:r>
          <m:t>o</m:t>
        </m:r>
        <m:r>
          <m:t>x</m:t>
        </m:r>
        <m:r>
          <m:t>i</m:t>
        </m:r>
        <m:r>
          <m:t>m</m:t>
        </m:r>
        <m:r>
          <m:t>a</m:t>
        </m:r>
        <m:r>
          <m:t>t</m:t>
        </m:r>
        <m:r>
          <m:t>e</m:t>
        </m:r>
        <m:r>
          <m:t>l</m:t>
        </m:r>
        <m:r>
          <m:t>y</m:t>
        </m:r>
        <m:r>
          <m:rPr>
            <m:sty m:val="p"/>
          </m:rPr>
          <m:t>*</m:t>
        </m:r>
        <m:r>
          <m:rPr>
            <m:sty m:val="p"/>
          </m:rPr>
          <m:t>*</m:t>
        </m:r>
      </m:oMath>
      <w:r>
        <w:rPr>
          <w:b/>
          <w:bCs/>
        </w:rPr>
        <w:t xml:space="preserve">44.6 billion</w:t>
      </w:r>
      <w:r>
        <w:t xml:space="preserve"> </w:t>
      </w:r>
      <w:r>
        <w:t xml:space="preserve">of which is generation investment. It expects rate base to approach</w:t>
      </w:r>
      <w:r>
        <w:t xml:space="preserve"> </w:t>
      </w:r>
      <w:r>
        <w:rPr>
          <w:b/>
          <w:bCs/>
        </w:rPr>
        <w:t xml:space="preserve">$97 billion by 2030</w:t>
      </w:r>
      <w:r>
        <w:t xml:space="preserve"> </w:t>
      </w:r>
      <w:r>
        <w:t xml:space="preserve">and plans to add roughly</w:t>
      </w:r>
      <w:r>
        <w:t xml:space="preserve"> </w:t>
      </w:r>
      <w:r>
        <w:rPr>
          <w:b/>
          <w:bCs/>
        </w:rPr>
        <w:t xml:space="preserve">30 GW of new or repowered resources by 2035</w:t>
      </w:r>
      <w:r>
        <w:t xml:space="preserve">. (</w:t>
      </w:r>
      <w:hyperlink r:id="rId15">
        <w:r>
          <w:rPr>
            <w:rStyle w:val="Hyperlink"/>
          </w:rPr>
          <w:t xml:space="preserve">s201.q4cdn.com</w:t>
        </w:r>
      </w:hyperlink>
      <w:r>
        <w:t xml:space="preserve">)</w:t>
      </w:r>
    </w:p>
    <w:p>
      <w:pPr>
        <w:pStyle w:val="BodyText"/>
      </w:pPr>
      <w:r>
        <w:t xml:space="preserve">That scale creates significant execution risk even if demand materializes as expected.</w:t>
      </w:r>
    </w:p>
    <w:p>
      <w:pPr>
        <w:pStyle w:val="BodyText"/>
      </w:pPr>
      <w:r>
        <w:t xml:space="preserve">Key project updates should include:</w:t>
      </w:r>
    </w:p>
    <w:bookmarkStart w:id="20" w:name="orange-county-advanced-power-station"/>
    <w:p>
      <w:pPr>
        <w:pStyle w:val="Heading3"/>
      </w:pPr>
      <w:r>
        <w:t xml:space="preserve">Orange County Advanced Power Station</w:t>
      </w:r>
    </w:p>
    <w:p>
      <w:pPr>
        <w:pStyle w:val="FirstParagraph"/>
      </w:pPr>
      <w:r>
        <w:t xml:space="preserve">Entergy previously targeted full operation of OCAPS in late summer 2026. Confirmation that the plant remains on schedule and within budget would be a useful proof point for the company’s “standardize and repeat” construction strategy.</w:t>
      </w:r>
    </w:p>
    <w:bookmarkEnd w:id="20"/>
    <w:bookmarkStart w:id="21" w:name="generation-equipment-and-workforce"/>
    <w:p>
      <w:pPr>
        <w:pStyle w:val="Heading3"/>
      </w:pPr>
      <w:r>
        <w:t xml:space="preserve">Generation equipment and workforce</w:t>
      </w:r>
    </w:p>
    <w:p>
      <w:pPr>
        <w:pStyle w:val="FirstParagraph"/>
      </w:pPr>
      <w:r>
        <w:t xml:space="preserve">Management said it has secured approximately 24 GW of dispatchable-generation equipment through 2032 and is standardizing plant designs across its portfolio. Investors should watch for any change in:</w:t>
      </w:r>
    </w:p>
    <w:p>
      <w:pPr>
        <w:pStyle w:val="Compact"/>
        <w:numPr>
          <w:ilvl w:val="0"/>
          <w:numId w:val="1007"/>
        </w:numPr>
      </w:pPr>
      <w:r>
        <w:t xml:space="preserve">Turbine delivery dates</w:t>
      </w:r>
    </w:p>
    <w:p>
      <w:pPr>
        <w:pStyle w:val="Compact"/>
        <w:numPr>
          <w:ilvl w:val="0"/>
          <w:numId w:val="1007"/>
        </w:numPr>
      </w:pPr>
      <w:r>
        <w:t xml:space="preserve">EPC pricing</w:t>
      </w:r>
    </w:p>
    <w:p>
      <w:pPr>
        <w:pStyle w:val="Compact"/>
        <w:numPr>
          <w:ilvl w:val="0"/>
          <w:numId w:val="1007"/>
        </w:numPr>
      </w:pPr>
      <w:r>
        <w:t xml:space="preserve">Labor availability</w:t>
      </w:r>
    </w:p>
    <w:p>
      <w:pPr>
        <w:pStyle w:val="Compact"/>
        <w:numPr>
          <w:ilvl w:val="0"/>
          <w:numId w:val="1007"/>
        </w:numPr>
      </w:pPr>
      <w:r>
        <w:t xml:space="preserve">Transmission-equipment availability</w:t>
      </w:r>
    </w:p>
    <w:p>
      <w:pPr>
        <w:pStyle w:val="Compact"/>
        <w:numPr>
          <w:ilvl w:val="0"/>
          <w:numId w:val="1007"/>
        </w:numPr>
      </w:pPr>
      <w:r>
        <w:t xml:space="preserve">Project contingencies</w:t>
      </w:r>
    </w:p>
    <w:p>
      <w:pPr>
        <w:pStyle w:val="Compact"/>
        <w:numPr>
          <w:ilvl w:val="0"/>
          <w:numId w:val="1007"/>
        </w:numPr>
      </w:pPr>
      <w:r>
        <w:t xml:space="preserve">Expected commercial-operation dates</w:t>
      </w:r>
    </w:p>
    <w:bookmarkEnd w:id="21"/>
    <w:bookmarkStart w:id="22" w:name="transmission"/>
    <w:p>
      <w:pPr>
        <w:pStyle w:val="Heading3"/>
      </w:pPr>
      <w:r>
        <w:t xml:space="preserve">Transmission</w:t>
      </w:r>
    </w:p>
    <w:p>
      <w:pPr>
        <w:pStyle w:val="FirstParagraph"/>
      </w:pPr>
      <w:r>
        <w:t xml:space="preserve">The plan includes more than 1,000 miles of new transmission, including substantial 500-kV construction. Generation and transmission schedules must remain synchronized; a completed plant has limited value if its interconnection infrastructure is delayed.</w:t>
      </w:r>
    </w:p>
    <w:p>
      <w:r>
        <w:pict>
          <v:rect style="width:0;height:1.5pt" o:hralign="center" o:hrstd="t" o:hr="t"/>
        </w:pict>
      </w:r>
    </w:p>
    <w:bookmarkEnd w:id="22"/>
    <w:bookmarkEnd w:id="23"/>
    <w:bookmarkStart w:id="24" w:name="X4edd31e034c4009d09d7bcbd54d2b3368bd088b"/>
    <w:p>
      <w:pPr>
        <w:pStyle w:val="Heading2"/>
      </w:pPr>
      <w:r>
        <w:t xml:space="preserve">6. Financing is substantially de-risked—but dilution remains real</w:t>
      </w:r>
    </w:p>
    <w:p>
      <w:pPr>
        <w:pStyle w:val="FirstParagraph"/>
      </w:pPr>
      <w:r>
        <w:t xml:space="preserve">Entergy’s financing plan assumes approximately</w:t>
      </w:r>
      <w:r>
        <w:t xml:space="preserve"> </w:t>
      </w:r>
      <w:r>
        <w:rPr>
          <w:b/>
          <w:bCs/>
        </w:rPr>
        <w:t xml:space="preserve">$7 billion of equity</w:t>
      </w:r>
      <w:r>
        <w:t xml:space="preserve"> </w:t>
      </w:r>
      <w:r>
        <w:t xml:space="preserve">against the $67 billion capital program, maintaining equity funding at roughly</w:t>
      </w:r>
      <w:r>
        <w:t xml:space="preserve"> </w:t>
      </w:r>
      <w:r>
        <w:rPr>
          <w:b/>
          <w:bCs/>
        </w:rPr>
        <w:t xml:space="preserve">10%–15% of capital investment</w:t>
      </w:r>
      <w:r>
        <w:t xml:space="preserve">. (</w:t>
      </w:r>
      <w:hyperlink r:id="rId15">
        <w:r>
          <w:rPr>
            <w:rStyle w:val="Hyperlink"/>
          </w:rPr>
          <w:t xml:space="preserve">s201.q4cdn.com</w:t>
        </w:r>
      </w:hyperlink>
      <w:r>
        <w:t xml:space="preserve">)</w:t>
      </w:r>
    </w:p>
    <w:p>
      <w:pPr>
        <w:pStyle w:val="BodyText"/>
      </w:pPr>
      <w:r>
        <w:t xml:space="preserve">On June 22, the company settled forward contracts for approximately</w:t>
      </w:r>
      <w:r>
        <w:t xml:space="preserve"> </w:t>
      </w:r>
      <w:r>
        <w:rPr>
          <w:b/>
          <w:bCs/>
        </w:rPr>
        <w:t xml:space="preserve">8.7 million shares</w:t>
      </w:r>
      <w:r>
        <w:t xml:space="preserve">, receiving about</w:t>
      </w:r>
      <w:r>
        <w:t xml:space="preserve"> </w:t>
      </w:r>
      <w:r>
        <w:rPr>
          <w:b/>
          <w:bCs/>
        </w:rPr>
        <w:t xml:space="preserve">$672 million in cash</w:t>
      </w:r>
      <w:r>
        <w:t xml:space="preserve">. It still had other underwritten forward agreements outstanding, including the large May 2026 transaction.</w:t>
      </w:r>
    </w:p>
    <w:p>
      <w:pPr>
        <w:pStyle w:val="BodyText"/>
      </w:pPr>
      <w:r>
        <w:t xml:space="preserve">This proactive financing reduces capital-market timing risk. But it also means the share count is rising materially:</w:t>
      </w:r>
    </w:p>
    <w:p>
      <w:pPr>
        <w:pStyle w:val="Compact"/>
        <w:numPr>
          <w:ilvl w:val="0"/>
          <w:numId w:val="1008"/>
        </w:numPr>
      </w:pPr>
      <w:r>
        <w:t xml:space="preserve">Q1 2026 diluted shares were approximately 462.5 million, versus 440.6 million in Q1 2025.</w:t>
      </w:r>
    </w:p>
    <w:p>
      <w:pPr>
        <w:pStyle w:val="Compact"/>
        <w:numPr>
          <w:ilvl w:val="0"/>
          <w:numId w:val="1008"/>
        </w:numPr>
      </w:pPr>
      <w:r>
        <w:t xml:space="preserve">June’s settlements occurred late in Q2, limiting their weighted-average effect this quarter but increasing the H2 share base.</w:t>
      </w:r>
    </w:p>
    <w:p>
      <w:pPr>
        <w:pStyle w:val="Compact"/>
        <w:numPr>
          <w:ilvl w:val="0"/>
          <w:numId w:val="1008"/>
        </w:numPr>
      </w:pPr>
      <w:r>
        <w:t xml:space="preserve">Higher stock prices can also increase dilution associated with unsettled forwards.</w:t>
      </w:r>
    </w:p>
    <w:p>
      <w:pPr>
        <w:pStyle w:val="FirstParagraph"/>
      </w:pPr>
      <w:r>
        <w:t xml:space="preserve">Investors should look for:</w:t>
      </w:r>
    </w:p>
    <w:p>
      <w:pPr>
        <w:pStyle w:val="Compact"/>
        <w:numPr>
          <w:ilvl w:val="0"/>
          <w:numId w:val="1009"/>
        </w:numPr>
      </w:pPr>
      <w:r>
        <w:t xml:space="preserve">An updated percentage of the equity plan already sourced</w:t>
      </w:r>
    </w:p>
    <w:p>
      <w:pPr>
        <w:pStyle w:val="Compact"/>
        <w:numPr>
          <w:ilvl w:val="0"/>
          <w:numId w:val="1009"/>
        </w:numPr>
      </w:pPr>
      <w:r>
        <w:t xml:space="preserve">Remaining forward-sale proceeds</w:t>
      </w:r>
    </w:p>
    <w:p>
      <w:pPr>
        <w:pStyle w:val="Compact"/>
        <w:numPr>
          <w:ilvl w:val="0"/>
          <w:numId w:val="1009"/>
        </w:numPr>
      </w:pPr>
      <w:r>
        <w:t xml:space="preserve">The expected diluted share count for 2026 and 2027</w:t>
      </w:r>
    </w:p>
    <w:p>
      <w:pPr>
        <w:pStyle w:val="Compact"/>
        <w:numPr>
          <w:ilvl w:val="0"/>
          <w:numId w:val="1009"/>
        </w:numPr>
      </w:pPr>
      <w:r>
        <w:t xml:space="preserve">Confirmation that equity remains limited to 10%–15% of capital</w:t>
      </w:r>
    </w:p>
    <w:p>
      <w:pPr>
        <w:pStyle w:val="Compact"/>
        <w:numPr>
          <w:ilvl w:val="0"/>
          <w:numId w:val="1009"/>
        </w:numPr>
      </w:pPr>
      <w:r>
        <w:t xml:space="preserve">FFO-to-debt remaining at or above management’s approximately 15% objective</w:t>
      </w:r>
    </w:p>
    <w:p>
      <w:pPr>
        <w:pStyle w:val="Compact"/>
        <w:numPr>
          <w:ilvl w:val="0"/>
          <w:numId w:val="1009"/>
        </w:numPr>
      </w:pPr>
      <w:r>
        <w:t xml:space="preserve">Any additional use of hybrids, customer advances or alternative financing</w:t>
      </w:r>
    </w:p>
    <w:p>
      <w:pPr>
        <w:pStyle w:val="FirstParagraph"/>
      </w:pPr>
      <w:r>
        <w:t xml:space="preserve">A capital-plan increase that requires meaningfully more equity would likely be received poorly unless accompanied by signed, strongly accretive customer contracts.</w:t>
      </w:r>
    </w:p>
    <w:p>
      <w:r>
        <w:pict>
          <v:rect style="width:0;height:1.5pt" o:hralign="center" o:hrstd="t" o:hr="t"/>
        </w:pict>
      </w:r>
    </w:p>
    <w:bookmarkEnd w:id="24"/>
    <w:bookmarkStart w:id="28" w:name="bull-base-and-bear-outcomes"/>
    <w:p>
      <w:pPr>
        <w:pStyle w:val="Heading2"/>
      </w:pPr>
      <w:r>
        <w:t xml:space="preserve">Bull, base and bear outcomes</w:t>
      </w:r>
    </w:p>
    <w:bookmarkStart w:id="25" w:name="bull-case"/>
    <w:p>
      <w:pPr>
        <w:pStyle w:val="Heading3"/>
      </w:pPr>
      <w:r>
        <w:t xml:space="preserve">Bull case</w:t>
      </w:r>
    </w:p>
    <w:p>
      <w:pPr>
        <w:pStyle w:val="Compact"/>
        <w:numPr>
          <w:ilvl w:val="0"/>
          <w:numId w:val="1010"/>
        </w:numPr>
      </w:pPr>
      <w:r>
        <w:t xml:space="preserve">Adjusted EPS exceeds the higher end of public expectations</w:t>
      </w:r>
    </w:p>
    <w:p>
      <w:pPr>
        <w:pStyle w:val="Compact"/>
        <w:numPr>
          <w:ilvl w:val="0"/>
          <w:numId w:val="1010"/>
        </w:numPr>
      </w:pPr>
      <w:r>
        <w:t xml:space="preserve">Management signals the upper half of 2026 guidance or raises guidance</w:t>
      </w:r>
    </w:p>
    <w:p>
      <w:pPr>
        <w:pStyle w:val="Compact"/>
        <w:numPr>
          <w:ilvl w:val="0"/>
          <w:numId w:val="1010"/>
        </w:numPr>
      </w:pPr>
      <w:r>
        <w:t xml:space="preserve">Industrial sales remain around the mid-teens</w:t>
      </w:r>
    </w:p>
    <w:p>
      <w:pPr>
        <w:pStyle w:val="Compact"/>
        <w:numPr>
          <w:ilvl w:val="0"/>
          <w:numId w:val="1010"/>
        </w:numPr>
      </w:pPr>
      <w:r>
        <w:t xml:space="preserve">The uncontracted data-center pipeline remains at least 7–12 GW</w:t>
      </w:r>
    </w:p>
    <w:p>
      <w:pPr>
        <w:pStyle w:val="Compact"/>
        <w:numPr>
          <w:ilvl w:val="0"/>
          <w:numId w:val="1010"/>
        </w:numPr>
      </w:pPr>
      <w:r>
        <w:t xml:space="preserve">New electric-service agreements are announced</w:t>
      </w:r>
    </w:p>
    <w:p>
      <w:pPr>
        <w:pStyle w:val="Compact"/>
        <w:numPr>
          <w:ilvl w:val="0"/>
          <w:numId w:val="1010"/>
        </w:numPr>
      </w:pPr>
      <w:r>
        <w:t xml:space="preserve">OCAPS and other major projects remain on time and on budget</w:t>
      </w:r>
    </w:p>
    <w:p>
      <w:pPr>
        <w:pStyle w:val="Compact"/>
        <w:numPr>
          <w:ilvl w:val="0"/>
          <w:numId w:val="1010"/>
        </w:numPr>
      </w:pPr>
      <w:r>
        <w:t xml:space="preserve">Management provides a persuasive, quantitative response to Cottonwood concerns</w:t>
      </w:r>
    </w:p>
    <w:p>
      <w:pPr>
        <w:pStyle w:val="Compact"/>
        <w:numPr>
          <w:ilvl w:val="0"/>
          <w:numId w:val="1010"/>
        </w:numPr>
      </w:pPr>
      <w:r>
        <w:t xml:space="preserve">Credit metrics and equity requirements remain unchanged</w:t>
      </w:r>
    </w:p>
    <w:bookmarkEnd w:id="25"/>
    <w:bookmarkStart w:id="26" w:name="base-case"/>
    <w:p>
      <w:pPr>
        <w:pStyle w:val="Heading3"/>
      </w:pPr>
      <w:r>
        <w:t xml:space="preserve">Base case</w:t>
      </w:r>
    </w:p>
    <w:p>
      <w:pPr>
        <w:pStyle w:val="Compact"/>
        <w:numPr>
          <w:ilvl w:val="0"/>
          <w:numId w:val="1011"/>
        </w:numPr>
      </w:pPr>
      <w:r>
        <w:t xml:space="preserve">EPS is around $1.00</w:t>
      </w:r>
    </w:p>
    <w:p>
      <w:pPr>
        <w:pStyle w:val="Compact"/>
        <w:numPr>
          <w:ilvl w:val="0"/>
          <w:numId w:val="1011"/>
        </w:numPr>
      </w:pPr>
      <w:r>
        <w:t xml:space="preserve">Full-year guidance is reaffirmed</w:t>
      </w:r>
    </w:p>
    <w:p>
      <w:pPr>
        <w:pStyle w:val="Compact"/>
        <w:numPr>
          <w:ilvl w:val="0"/>
          <w:numId w:val="1011"/>
        </w:numPr>
      </w:pPr>
      <w:r>
        <w:t xml:space="preserve">Industrial growth remains healthy but moderates from Q1</w:t>
      </w:r>
    </w:p>
    <w:p>
      <w:pPr>
        <w:pStyle w:val="Compact"/>
        <w:numPr>
          <w:ilvl w:val="0"/>
          <w:numId w:val="1011"/>
        </w:numPr>
      </w:pPr>
      <w:r>
        <w:t xml:space="preserve">No major new customer contract is announced</w:t>
      </w:r>
    </w:p>
    <w:p>
      <w:pPr>
        <w:pStyle w:val="Compact"/>
        <w:numPr>
          <w:ilvl w:val="0"/>
          <w:numId w:val="1011"/>
        </w:numPr>
      </w:pPr>
      <w:r>
        <w:t xml:space="preserve">Capital and financing plans remain unchanged</w:t>
      </w:r>
    </w:p>
    <w:p>
      <w:pPr>
        <w:pStyle w:val="Compact"/>
        <w:numPr>
          <w:ilvl w:val="0"/>
          <w:numId w:val="1011"/>
        </w:numPr>
      </w:pPr>
      <w:r>
        <w:t xml:space="preserve">Regulatory proceedings remain on schedule, with no definitive resolution of Cottonwood</w:t>
      </w:r>
    </w:p>
    <w:bookmarkEnd w:id="26"/>
    <w:bookmarkStart w:id="27" w:name="bear-case"/>
    <w:p>
      <w:pPr>
        <w:pStyle w:val="Heading3"/>
      </w:pPr>
      <w:r>
        <w:t xml:space="preserve">Bear case</w:t>
      </w:r>
    </w:p>
    <w:p>
      <w:pPr>
        <w:pStyle w:val="Compact"/>
        <w:numPr>
          <w:ilvl w:val="0"/>
          <w:numId w:val="1012"/>
        </w:numPr>
      </w:pPr>
      <w:r>
        <w:t xml:space="preserve">EPS falls below the low end of the public estimate range</w:t>
      </w:r>
    </w:p>
    <w:p>
      <w:pPr>
        <w:pStyle w:val="Compact"/>
        <w:numPr>
          <w:ilvl w:val="0"/>
          <w:numId w:val="1012"/>
        </w:numPr>
      </w:pPr>
      <w:r>
        <w:t xml:space="preserve">Management emphasizes a heavily back-end-loaded path to guidance</w:t>
      </w:r>
    </w:p>
    <w:p>
      <w:pPr>
        <w:pStyle w:val="Compact"/>
        <w:numPr>
          <w:ilvl w:val="0"/>
          <w:numId w:val="1012"/>
        </w:numPr>
      </w:pPr>
      <w:r>
        <w:t xml:space="preserve">Industrial sales growth slows sharply</w:t>
      </w:r>
    </w:p>
    <w:p>
      <w:pPr>
        <w:pStyle w:val="Compact"/>
        <w:numPr>
          <w:ilvl w:val="0"/>
          <w:numId w:val="1012"/>
        </w:numPr>
      </w:pPr>
      <w:r>
        <w:t xml:space="preserve">O&amp;M, interest expense or dilution runs above plan</w:t>
      </w:r>
    </w:p>
    <w:p>
      <w:pPr>
        <w:pStyle w:val="Compact"/>
        <w:numPr>
          <w:ilvl w:val="0"/>
          <w:numId w:val="1012"/>
        </w:numPr>
      </w:pPr>
      <w:r>
        <w:t xml:space="preserve">Cottonwood or Meta-related approvals face delays or adverse cost allocation</w:t>
      </w:r>
    </w:p>
    <w:p>
      <w:pPr>
        <w:pStyle w:val="Compact"/>
        <w:numPr>
          <w:ilvl w:val="0"/>
          <w:numId w:val="1012"/>
        </w:numPr>
      </w:pPr>
      <w:r>
        <w:t xml:space="preserve">Generation or transmission schedules slip</w:t>
      </w:r>
    </w:p>
    <w:p>
      <w:pPr>
        <w:pStyle w:val="Compact"/>
        <w:numPr>
          <w:ilvl w:val="0"/>
          <w:numId w:val="1012"/>
        </w:numPr>
      </w:pPr>
      <w:r>
        <w:t xml:space="preserve">Equity needs rise above the current 10%–15% framework</w:t>
      </w:r>
    </w:p>
    <w:p>
      <w:r>
        <w:pict>
          <v:rect style="width:0;height:1.5pt" o:hralign="center" o:hrstd="t" o:hr="t"/>
        </w:pict>
      </w:r>
    </w:p>
    <w:bookmarkEnd w:id="27"/>
    <w:bookmarkEnd w:id="28"/>
    <w:bookmarkStart w:id="30" w:name="stock-setup"/>
    <w:p>
      <w:pPr>
        <w:pStyle w:val="Heading2"/>
      </w:pPr>
      <w:r>
        <w:t xml:space="preserve">Stock setup</w:t>
      </w:r>
    </w:p>
    <w:p>
      <w:pPr>
        <w:pStyle w:val="FirstParagraph"/>
      </w:pPr>
      <w:r>
        <w:t xml:space="preserve">ETR closed July 28 at approximately</w:t>
      </w:r>
      <w:r>
        <w:t xml:space="preserve"> </w:t>
      </w:r>
      <w:r>
        <w:rPr>
          <w:b/>
          <w:bCs/>
        </w:rPr>
        <w:t xml:space="preserve">$112.35</w:t>
      </w:r>
      <w:r>
        <w:t xml:space="preserve">, up roughly</w:t>
      </w:r>
      <w:r>
        <w:t xml:space="preserve"> </w:t>
      </w:r>
      <w:r>
        <w:rPr>
          <w:b/>
          <w:bCs/>
        </w:rPr>
        <w:t xml:space="preserve">20% year to date</w:t>
      </w:r>
      <w:r>
        <w:t xml:space="preserve">, compared with gains of about</w:t>
      </w:r>
      <w:r>
        <w:t xml:space="preserve"> </w:t>
      </w:r>
      <w:r>
        <w:rPr>
          <w:b/>
          <w:bCs/>
        </w:rPr>
        <w:t xml:space="preserve">5% for the utilities ETF XLU</w:t>
      </w:r>
      <w:r>
        <w:t xml:space="preserve"> </w:t>
      </w:r>
      <w:r>
        <w:t xml:space="preserve">and</w:t>
      </w:r>
      <w:r>
        <w:t xml:space="preserve"> </w:t>
      </w:r>
      <w:r>
        <w:rPr>
          <w:b/>
          <w:bCs/>
        </w:rPr>
        <w:t xml:space="preserve">8% for the S&amp;P 500 ETF SPY</w:t>
      </w:r>
      <w:r>
        <w:t xml:space="preserve">. Using the roughly $4.40 public FY2026 consensus, the stock trades near</w:t>
      </w:r>
      <w:r>
        <w:t xml:space="preserve"> </w:t>
      </w:r>
      <w:r>
        <w:rPr>
          <w:b/>
          <w:bCs/>
        </w:rPr>
        <w:t xml:space="preserve">25.5 times earnings</w:t>
      </w:r>
      <w:r>
        <w:t xml:space="preserve">. Barchart similarly reports a forward earnings multiple in the mid-20s. (</w:t>
      </w:r>
      <w:hyperlink r:id="rId29">
        <w:r>
          <w:rPr>
            <w:rStyle w:val="Hyperlink"/>
          </w:rPr>
          <w:t xml:space="preserve">boursorama.com</w:t>
        </w:r>
      </w:hyperlink>
      <w:r>
        <w:t xml:space="preserve">)</w:t>
      </w:r>
    </w:p>
    <w:p>
      <w:pPr>
        <w:pStyle w:val="BodyText"/>
      </w:pPr>
      <w:r>
        <w:t xml:space="preserve">That valuation means investors are already paying for:</w:t>
      </w:r>
    </w:p>
    <w:p>
      <w:pPr>
        <w:pStyle w:val="Compact"/>
        <w:numPr>
          <w:ilvl w:val="0"/>
          <w:numId w:val="1013"/>
        </w:numPr>
      </w:pPr>
      <w:r>
        <w:t xml:space="preserve">Successful regulatory approvals</w:t>
      </w:r>
    </w:p>
    <w:p>
      <w:pPr>
        <w:pStyle w:val="Compact"/>
        <w:numPr>
          <w:ilvl w:val="0"/>
          <w:numId w:val="1013"/>
        </w:numPr>
      </w:pPr>
      <w:r>
        <w:t xml:space="preserve">Continued double-digit industrial growth</w:t>
      </w:r>
    </w:p>
    <w:p>
      <w:pPr>
        <w:pStyle w:val="Compact"/>
        <w:numPr>
          <w:ilvl w:val="0"/>
          <w:numId w:val="1013"/>
        </w:numPr>
      </w:pPr>
      <w:r>
        <w:t xml:space="preserve">On-time capital execution</w:t>
      </w:r>
    </w:p>
    <w:p>
      <w:pPr>
        <w:pStyle w:val="Compact"/>
        <w:numPr>
          <w:ilvl w:val="0"/>
          <w:numId w:val="1013"/>
        </w:numPr>
      </w:pPr>
      <w:r>
        <w:t xml:space="preserve">Limited equity dilution relative to capital spending</w:t>
      </w:r>
    </w:p>
    <w:p>
      <w:pPr>
        <w:pStyle w:val="Compact"/>
        <w:numPr>
          <w:ilvl w:val="0"/>
          <w:numId w:val="1013"/>
        </w:numPr>
      </w:pPr>
      <w:r>
        <w:t xml:space="preserve">A credible path to greater than 8% EPS growth through 2035</w:t>
      </w:r>
    </w:p>
    <w:p>
      <w:pPr>
        <w:pStyle w:val="FirstParagraph"/>
      </w:pPr>
      <w:r>
        <w:t xml:space="preserve">Entergy’s Investor Day base case calls for adjusted EPS growth above 8% through 2035, with additional upside from customer contracts not currently in the forecast. (</w:t>
      </w:r>
      <w:hyperlink r:id="rId15">
        <w:r>
          <w:rPr>
            <w:rStyle w:val="Hyperlink"/>
          </w:rPr>
          <w:t xml:space="preserve">s201.q4cdn.com</w:t>
        </w:r>
      </w:hyperlink>
      <w:r>
        <w:t xml:space="preserve">)</w:t>
      </w:r>
    </w:p>
    <w:bookmarkEnd w:id="30"/>
    <w:bookmarkStart w:id="31" w:name="bottom-line"/>
    <w:p>
      <w:pPr>
        <w:pStyle w:val="Heading2"/>
      </w:pPr>
      <w:r>
        <w:t xml:space="preserve">Bottom line</w:t>
      </w:r>
    </w:p>
    <w:p>
      <w:pPr>
        <w:pStyle w:val="FirstParagraph"/>
      </w:pPr>
      <w:r>
        <w:rPr>
          <w:b/>
          <w:bCs/>
        </w:rPr>
        <w:t xml:space="preserve">The quarter’s EPS result matters, but the stock is more likely to react to confidence in the growth architecture.</w:t>
      </w:r>
      <w:r>
        <w:t xml:space="preserve"> </w:t>
      </w:r>
      <w:r>
        <w:t xml:space="preserve">The most consequential issues are whether industrial demand remains exceptionally strong, whether the Meta and Cottonwood proceedings remain manageable, and whether Entergy can execute a nearly $67 billion capital plan without expanding its equity requirement.</w:t>
      </w:r>
    </w:p>
    <w:p>
      <w:pPr>
        <w:pStyle w:val="BodyText"/>
      </w:pPr>
      <w:r>
        <w:t xml:space="preserve">A small EPS beat paired with weaker regulatory or project commentary could disappoint. Conversely, an ordinary quarter with sustained industrial growth, stable financing assumptions and improved Louisiana visibility would support the premium valuation.</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entergy.com/investors/events-and-presentations/events/event-details/2026/Entergy-Corporation---Second-Quarter-Earnings-Call-and-Teleconference/default.aspx?utm_source=openai" TargetMode="External" /><Relationship Type="http://schemas.openxmlformats.org/officeDocument/2006/relationships/hyperlink" Id="rId15" Target="https://s201.q4cdn.com/714390239/files/doc_presentations/2026/Jun/09/Entergy-2026-Investor-Day.pdf" TargetMode="External" /><Relationship Type="http://schemas.openxmlformats.org/officeDocument/2006/relationships/hyperlink" Id="rId18" Target="https://www.axios.com/local/new-orleans/2026/07/13/meta-rate-increase-louisiana-power-plants?utm_source=openai" TargetMode="External" /><Relationship Type="http://schemas.openxmlformats.org/officeDocument/2006/relationships/hyperlink" Id="rId29" Target="https://www.boursorama.com/cours/consensus/ETR/?utm_source=openai" TargetMode="External" /><Relationship Type="http://schemas.openxmlformats.org/officeDocument/2006/relationships/hyperlink" Id="rId12" Target="https://www.entergy.com/news/entergy-reports-first-quarter-2026-financial-results?utm_source=openai" TargetMode="External" /><Relationship Type="http://schemas.openxmlformats.org/officeDocument/2006/relationships/hyperlink" Id="rId11" Target="https://www.marketbeat.com/earnings/reports/2026-7-29-entergy-co-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entergy.com/investors/events-and-presentations/events/event-details/2026/Entergy-Corporation---Second-Quarter-Earnings-Call-and-Teleconference/default.aspx?utm_source=openai" TargetMode="External" /><Relationship Type="http://schemas.openxmlformats.org/officeDocument/2006/relationships/hyperlink" Id="rId15" Target="https://s201.q4cdn.com/714390239/files/doc_presentations/2026/Jun/09/Entergy-2026-Investor-Day.pdf" TargetMode="External" /><Relationship Type="http://schemas.openxmlformats.org/officeDocument/2006/relationships/hyperlink" Id="rId18" Target="https://www.axios.com/local/new-orleans/2026/07/13/meta-rate-increase-louisiana-power-plants?utm_source=openai" TargetMode="External" /><Relationship Type="http://schemas.openxmlformats.org/officeDocument/2006/relationships/hyperlink" Id="rId29" Target="https://www.boursorama.com/cours/consensus/ETR/?utm_source=openai" TargetMode="External" /><Relationship Type="http://schemas.openxmlformats.org/officeDocument/2006/relationships/hyperlink" Id="rId12" Target="https://www.entergy.com/news/entergy-reports-first-quarter-2026-financial-results?utm_source=openai" TargetMode="External" /><Relationship Type="http://schemas.openxmlformats.org/officeDocument/2006/relationships/hyperlink" Id="rId11" Target="https://www.marketbeat.com/earnings/reports/2026-7-29-entergy-co-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2026-07-29T01:07:38Z</dcterms:created>
  <dcterms:modified xsi:type="dcterms:W3CDTF">2026-07-29T01:07:38Z</dcterms:modified>
</cp:coreProperties>
</file>

<file path=docProps/custom.xml><?xml version="1.0" encoding="utf-8"?>
<Properties xmlns="http://schemas.openxmlformats.org/officeDocument/2006/custom-properties" xmlns:vt="http://schemas.openxmlformats.org/officeDocument/2006/docPropsVTypes"/>
</file>