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tr-earnings-predictions--2026-07-29"/>
    <w:p>
      <w:pPr>
        <w:pStyle w:val="Heading1"/>
      </w:pPr>
      <w:r>
        <w:t xml:space="preserve">ETR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~$1.13 vs. cons $1.11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~$3.66B vs. cons $3.64B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Weather-normalized industrial retail-sales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~14.0% vs. cons 12.5%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~$4.35 vs. cons $4.40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Retail-sales 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~9.0% vs. cons 9.0% (2026-2030 CAGR)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Capital-investment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~$67.0B vs. cons $67.0B (through 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0.02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s</m:t>
              </m:r>
              <m:r>
                <m:t>u</m:t>
              </m:r>
              <m:r>
                <m:t>s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i</m:t>
              </m:r>
              <m:r>
                <m:t>n</m:t>
              </m:r>
              <m:r>
                <m:t>d</m:t>
              </m:r>
              <m:r>
                <m:t>u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a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l</m:t>
              </m:r>
              <m:r>
                <m:t>o</m:t>
              </m:r>
              <m:r>
                <m:t>a</m:t>
              </m:r>
              <m:r>
                <m:t>d</m:t>
              </m:r>
              <m:r>
                <m:t>m</m:t>
              </m:r>
              <m:r>
                <m:t>o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u</m:t>
              </m:r>
              <m:r>
                <m:t>m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h</m:t>
              </m:r>
              <m:r>
                <m:t>e</m:t>
              </m:r>
              <m:r>
                <m:t>l</m:t>
              </m:r>
              <m:r>
                <m:t>p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r</m:t>
              </m:r>
              <m:r>
                <m:t>e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a</m:t>
              </m:r>
              <m:r>
                <m:t> </m:t>
              </m:r>
            </m:oMath>
            <w:r>
              <w:t xml:space="preserve">4.35 FY2026 EPS midpoint versus ~$4.40 consensus leaves out-period estimates without a clear upgrade catalyst; investors are likely to refocus on dilution, O&amp;M and regulatory-execution risk after the first-day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2026-07-29T01:05:46Z</dcterms:created>
  <dcterms:modified xsi:type="dcterms:W3CDTF">2026-07-29T01:05:46Z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