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entergy-nyse-etr--2q26-earnings-preview"/>
    <w:p>
      <w:pPr>
        <w:pStyle w:val="Heading1"/>
      </w:pPr>
      <w:r>
        <w:t xml:space="preserve">Entergy (NYSE: ETR) — 2Q26 Earnings Preview</w:t>
      </w:r>
    </w:p>
    <w:p>
      <w:pPr>
        <w:pStyle w:val="BlockText"/>
      </w:pPr>
      <w:r>
        <w:rPr>
          <w:b/>
          <w:bCs/>
        </w:rPr>
        <w:t xml:space="preserve">Timing note:</w:t>
      </w:r>
      <w:r>
        <w:t xml:space="preserve"> </w:t>
      </w:r>
      <w:r>
        <w:t xml:space="preserve">July 29, 2026 is</w:t>
      </w:r>
      <w:r>
        <w:t xml:space="preserve"> </w:t>
      </w:r>
      <w:r>
        <w:rPr>
          <w:b/>
          <w:bCs/>
        </w:rPr>
        <w:t xml:space="preserve">today</w:t>
      </w:r>
      <w:r>
        <w:t xml:space="preserve">, not tomorrow. Entergy is scheduled to release 2Q26 results</w:t>
      </w:r>
      <w:r>
        <w:t xml:space="preserve"> </w:t>
      </w:r>
      <w:r>
        <w:rPr>
          <w:b/>
          <w:bCs/>
        </w:rPr>
        <w:t xml:space="preserve">before the market opens on Wednesday, July 29</w:t>
      </w:r>
      <w:r>
        <w:t xml:space="preserve">, followed by a 10:00 a.m. CT earnings call.</w:t>
      </w:r>
    </w:p>
    <w:bookmarkStart w:id="9" w:name="investment-framing"/>
    <w:p>
      <w:pPr>
        <w:pStyle w:val="Heading2"/>
      </w:pPr>
      <w:r>
        <w:t xml:space="preserve">Investment framing</w:t>
      </w:r>
    </w:p>
    <w:p>
      <w:pPr>
        <w:pStyle w:val="FirstParagraph"/>
      </w:pPr>
      <w:r>
        <w:t xml:space="preserve">Entergy enters 2Q26 with one of the utility sector’s most ambitious customer-growth and capital-investment outlooks. The central question for this report is unlikely to be simply whether it meets quarterly EPS expectations. Rather, investors will be looking for confirmation that the company can translate signed hyperscale/data-center agreements and broader Gulf Coast industrial demand into</w:t>
      </w:r>
      <w:r>
        <w:t xml:space="preserve"> </w:t>
      </w:r>
      <w:r>
        <w:rPr>
          <w:b/>
          <w:bCs/>
        </w:rPr>
        <w:t xml:space="preserve">real load growth, timely regulatory approvals, executable capital deployment, and financeable earnings growth</w:t>
      </w:r>
      <w:r>
        <w:t xml:space="preserve">—while preserving affordability for existing customers.</w:t>
      </w:r>
    </w:p>
    <w:p>
      <w:pPr>
        <w:pStyle w:val="BodyText"/>
      </w:pPr>
      <w:r>
        <w:t xml:space="preserve">The setup remains favorable: management reaffirmed</w:t>
      </w:r>
      <w:r>
        <w:t xml:space="preserve"> </w:t>
      </w:r>
      <w:r>
        <w:rPr>
          <w:b/>
          <w:bCs/>
        </w:rPr>
        <w:t xml:space="preserve">2026 adjusted EPS guidance of</w:t>
      </w:r>
      <w:r>
        <w:rPr>
          <w:b/>
          <w:bCs/>
        </w:rPr>
        <w:t xml:space="preserve"> </w:t>
      </w:r>
      <m:oMath>
        <m:r>
          <m:t>4.25</m:t>
        </m:r>
        <m:r>
          <m:rPr>
            <m:sty m:val="p"/>
          </m:rPr>
          <m:t>–</m:t>
        </m:r>
      </m:oMath>
      <w:r>
        <w:rPr>
          <w:b/>
          <w:bCs/>
        </w:rPr>
        <w:t xml:space="preserve">4.45</w:t>
      </w:r>
      <w:r>
        <w:t xml:space="preserve"> </w:t>
      </w:r>
      <w:r>
        <w:t xml:space="preserve">in April, then expanded its longer-term framework at June’s Investor Day to include</w:t>
      </w:r>
      <w:r>
        <w:t xml:space="preserve"> </w:t>
      </w:r>
      <w:r>
        <w:rPr>
          <w:b/>
          <w:bCs/>
        </w:rPr>
        <w:t xml:space="preserve">9% retail-sales growth</w:t>
      </w:r>
      <w:r>
        <w:t xml:space="preserve">, a</w:t>
      </w:r>
      <w:r>
        <w:t xml:space="preserve"> </w:t>
      </w:r>
      <w:r>
        <w:rPr>
          <w:b/>
          <w:bCs/>
        </w:rPr>
        <w:t xml:space="preserve">$67 billion capital plan</w:t>
      </w:r>
      <w:r>
        <w:t xml:space="preserve"> </w:t>
      </w:r>
      <w:r>
        <w:t xml:space="preserve">through 2030, and adjusted EPS growth of</w:t>
      </w:r>
      <w:r>
        <w:t xml:space="preserve"> </w:t>
      </w:r>
      <w:r>
        <w:rPr>
          <w:b/>
          <w:bCs/>
        </w:rPr>
        <w:t xml:space="preserve">more than 8% through 2035</w:t>
      </w:r>
      <w:r>
        <w:t xml:space="preserve"> </w:t>
      </w:r>
      <w:r>
        <w:t xml:space="preserve">in its base case. The valuation and investor expectations, however, now place a premium on execution rather than aspiration.</w:t>
      </w:r>
    </w:p>
    <w:bookmarkEnd w:id="9"/>
    <w:bookmarkStart w:id="15" w:name="what-matters-most-in-the-quarter"/>
    <w:p>
      <w:pPr>
        <w:pStyle w:val="Heading2"/>
      </w:pPr>
      <w:r>
        <w:t xml:space="preserve">What matters most in the quarter</w:t>
      </w:r>
    </w:p>
    <w:bookmarkStart w:id="10" w:name="X2d0cd84bf371ba8d197f9f4d1c49bc1bd6f18d5"/>
    <w:p>
      <w:pPr>
        <w:pStyle w:val="Heading3"/>
      </w:pPr>
      <w:r>
        <w:t xml:space="preserve">1. Guidance: affirmation is the minimum; commentary on the path matters more</w:t>
      </w:r>
    </w:p>
    <w:p>
      <w:pPr>
        <w:pStyle w:val="FirstParagraph"/>
      </w:pPr>
      <w:r>
        <w:t xml:space="preserve">Entergy reported 1Q26 adjusted EPS of</w:t>
      </w:r>
      <w:r>
        <w:t xml:space="preserve"> </w:t>
      </w:r>
      <w:r>
        <w:rPr>
          <w:b/>
          <w:bCs/>
        </w:rPr>
        <w:t xml:space="preserve">$0.86</w:t>
      </w:r>
      <w:r>
        <w:t xml:space="preserve">, versus $0.82 in 1Q25, and reaffirmed its</w:t>
      </w:r>
      <w:r>
        <w:t xml:space="preserve"> </w:t>
      </w:r>
      <m:oMath>
        <m:r>
          <m:t>4.25</m:t>
        </m:r>
        <m:r>
          <m:rPr>
            <m:sty m:val="p"/>
          </m:rPr>
          <m:t>–</m:t>
        </m:r>
      </m:oMath>
      <w:r>
        <w:t xml:space="preserve">4.45 full-year range. The first quarter represented a relatively modest portion of the full-year guide, so the 2Q report should provide a more useful checkpoint on the cadence of earnings through the summer and the second half.</w:t>
      </w:r>
    </w:p>
    <w:p>
      <w:pPr>
        <w:pStyle w:val="BodyText"/>
      </w:pPr>
      <w:r>
        <w:t xml:space="preserve">Investors should focus on:</w:t>
      </w:r>
    </w:p>
    <w:p>
      <w:pPr>
        <w:pStyle w:val="Compact"/>
        <w:numPr>
          <w:ilvl w:val="0"/>
          <w:numId w:val="1001"/>
        </w:numPr>
      </w:pPr>
      <w:r>
        <w:t xml:space="preserve">Whether management</w:t>
      </w:r>
      <w:r>
        <w:t xml:space="preserve"> </w:t>
      </w:r>
      <w:r>
        <w:rPr>
          <w:b/>
          <w:bCs/>
        </w:rPr>
        <w:t xml:space="preserve">reaffirms 2026 guidance</w:t>
      </w:r>
      <w:r>
        <w:t xml:space="preserve"> </w:t>
      </w:r>
      <w:r>
        <w:t xml:space="preserve">without qualification.</w:t>
      </w:r>
    </w:p>
    <w:p>
      <w:pPr>
        <w:pStyle w:val="Compact"/>
        <w:numPr>
          <w:ilvl w:val="0"/>
          <w:numId w:val="1001"/>
        </w:numPr>
      </w:pPr>
      <w:r>
        <w:t xml:space="preserve">Any change in expectations for weather, retail sales, O&amp;M, financing costs, depreciation, or share count.</w:t>
      </w:r>
    </w:p>
    <w:p>
      <w:pPr>
        <w:pStyle w:val="Compact"/>
        <w:numPr>
          <w:ilvl w:val="0"/>
          <w:numId w:val="1001"/>
        </w:numPr>
      </w:pPr>
      <w:r>
        <w:t xml:space="preserve">Whether management offers a clearer view on where results sit within the guidance range following the first-half performance.</w:t>
      </w:r>
    </w:p>
    <w:p>
      <w:pPr>
        <w:pStyle w:val="Compact"/>
        <w:numPr>
          <w:ilvl w:val="0"/>
          <w:numId w:val="1001"/>
        </w:numPr>
      </w:pPr>
      <w:r>
        <w:t xml:space="preserve">The degree to which earnings are supported by recurring utility operations and regulatory recovery versus more variable items.</w:t>
      </w:r>
    </w:p>
    <w:p>
      <w:pPr>
        <w:pStyle w:val="FirstParagraph"/>
      </w:pPr>
      <w:r>
        <w:t xml:space="preserve">One known headwind was already flagged: management expected roughly</w:t>
      </w:r>
      <w:r>
        <w:t xml:space="preserve"> </w:t>
      </w:r>
      <w:r>
        <w:rPr>
          <w:b/>
          <w:bCs/>
        </w:rPr>
        <w:t xml:space="preserve">$0.15 per share of higher other O&amp;M in 2Q year over year</w:t>
      </w:r>
      <w:r>
        <w:t xml:space="preserve">, driven by vegetation-management spending and the timing of nuclear maintenance. A weaker year-over-year cost comparison therefore would not necessarily signal a change in the underlying earnings thesis—but investors will want to see that the cost increase remains contained and consistent with prior expectations.</w:t>
      </w:r>
    </w:p>
    <w:bookmarkEnd w:id="10"/>
    <w:bookmarkStart w:id="11" w:name="Xaaa32202a74c896948940d0519db394412cb74b"/>
    <w:p>
      <w:pPr>
        <w:pStyle w:val="Heading3"/>
      </w:pPr>
      <w:r>
        <w:t xml:space="preserve">2. Load growth: industrial volumes are the near-term proof point</w:t>
      </w:r>
    </w:p>
    <w:p>
      <w:pPr>
        <w:pStyle w:val="FirstParagraph"/>
      </w:pPr>
      <w:r>
        <w:t xml:space="preserve">The most important operating metric is likely to be</w:t>
      </w:r>
      <w:r>
        <w:t xml:space="preserve"> </w:t>
      </w:r>
      <w:r>
        <w:rPr>
          <w:b/>
          <w:bCs/>
        </w:rPr>
        <w:t xml:space="preserve">weather-normalized retail sales</w:t>
      </w:r>
      <w:r>
        <w:t xml:space="preserve">, particularly industrial demand.</w:t>
      </w:r>
    </w:p>
    <w:p>
      <w:pPr>
        <w:pStyle w:val="BodyText"/>
      </w:pPr>
      <w:r>
        <w:t xml:space="preserve">In 1Q26, weather-adjusted retail sales rose</w:t>
      </w:r>
      <w:r>
        <w:t xml:space="preserve"> </w:t>
      </w:r>
      <w:r>
        <w:rPr>
          <w:b/>
          <w:bCs/>
        </w:rPr>
        <w:t xml:space="preserve">6%</w:t>
      </w:r>
      <w:r>
        <w:t xml:space="preserve">, led by</w:t>
      </w:r>
      <w:r>
        <w:t xml:space="preserve"> </w:t>
      </w:r>
      <w:r>
        <w:rPr>
          <w:b/>
          <w:bCs/>
        </w:rPr>
        <w:t xml:space="preserve">14.9% industrial sales growth</w:t>
      </w:r>
      <w:r>
        <w:t xml:space="preserve">. Management attributed the industrial increase to data centers, primary metals, and transportation customers. At the Investor Day, Entergy raised its longer-term outlook to approximately</w:t>
      </w:r>
      <w:r>
        <w:t xml:space="preserve"> </w:t>
      </w:r>
      <w:r>
        <w:rPr>
          <w:b/>
          <w:bCs/>
        </w:rPr>
        <w:t xml:space="preserve">9% retail-sales growth through 2030</w:t>
      </w:r>
      <w:r>
        <w:t xml:space="preserve">, underpinned by</w:t>
      </w:r>
      <w:r>
        <w:t xml:space="preserve"> </w:t>
      </w:r>
      <w:r>
        <w:rPr>
          <w:b/>
          <w:bCs/>
        </w:rPr>
        <w:t xml:space="preserve">16% industrial growth</w:t>
      </w:r>
      <w:r>
        <w:t xml:space="preserve">.</w:t>
      </w:r>
    </w:p>
    <w:p>
      <w:pPr>
        <w:pStyle w:val="BodyText"/>
      </w:pPr>
      <w:r>
        <w:t xml:space="preserve">Key questions for 2Q:</w:t>
      </w:r>
    </w:p>
    <w:p>
      <w:pPr>
        <w:pStyle w:val="Compact"/>
        <w:numPr>
          <w:ilvl w:val="0"/>
          <w:numId w:val="1002"/>
        </w:numPr>
      </w:pPr>
      <w:r>
        <w:t xml:space="preserve">Did industrial load continue to ramp at a double-digit rate?</w:t>
      </w:r>
    </w:p>
    <w:p>
      <w:pPr>
        <w:pStyle w:val="Compact"/>
        <w:numPr>
          <w:ilvl w:val="0"/>
          <w:numId w:val="1002"/>
        </w:numPr>
      </w:pPr>
      <w:r>
        <w:t xml:space="preserve">Are data-center and traditional-industrial customers progressing in line with contracted or probability-weighted assumptions?</w:t>
      </w:r>
    </w:p>
    <w:p>
      <w:pPr>
        <w:pStyle w:val="Compact"/>
        <w:numPr>
          <w:ilvl w:val="0"/>
          <w:numId w:val="1002"/>
        </w:numPr>
      </w:pPr>
      <w:r>
        <w:t xml:space="preserve">Are non-data-center industrial projects converting from pipeline to signed electric-service agreements?</w:t>
      </w:r>
    </w:p>
    <w:p>
      <w:pPr>
        <w:pStyle w:val="Compact"/>
        <w:numPr>
          <w:ilvl w:val="0"/>
          <w:numId w:val="1002"/>
        </w:numPr>
      </w:pPr>
      <w:r>
        <w:t xml:space="preserve">Is residential/commercial demand stabilizing, or does the growth mix become still more concentrated in large industrial customers?</w:t>
      </w:r>
    </w:p>
    <w:p>
      <w:pPr>
        <w:pStyle w:val="FirstParagraph"/>
      </w:pPr>
      <w:r>
        <w:t xml:space="preserve">The company’s contractual structure is a key mitigant: Entergy includes hyperscale customers in its forecast only after a signed electric-service agreement and models them at minimum-bill levels. That structure reduces volume risk relative to a conventional load-growth forecast. But it also means that realized usage above minimum commitments represents potential upside—not necessarily earnings that will flow directly to shareholders, since management may allocate excess economics toward customer affordability or further investment.</w:t>
      </w:r>
    </w:p>
    <w:bookmarkEnd w:id="11"/>
    <w:bookmarkStart w:id="12" w:name="X8b65aa366b4bfdc02d81dc9a19ef6613edea69c"/>
    <w:p>
      <w:pPr>
        <w:pStyle w:val="Heading3"/>
      </w:pPr>
      <w:r>
        <w:t xml:space="preserve">3. The Meta project and Louisiana regulatory progress are central</w:t>
      </w:r>
    </w:p>
    <w:p>
      <w:pPr>
        <w:pStyle w:val="FirstParagraph"/>
      </w:pPr>
      <w:r>
        <w:t xml:space="preserve">Entergy’s March agreement with Meta is the defining growth catalyst. The associated Louisiana filing includes more than</w:t>
      </w:r>
      <w:r>
        <w:t xml:space="preserve"> </w:t>
      </w:r>
      <m:oMath>
        <m:r>
          <m:t>15</m:t>
        </m:r>
        <m:r>
          <m:t>b</m:t>
        </m:r>
        <m:r>
          <m:t>i</m:t>
        </m:r>
        <m:r>
          <m:t>l</m:t>
        </m:r>
        <m:r>
          <m:t>l</m:t>
        </m:r>
        <m:r>
          <m:t>i</m:t>
        </m:r>
        <m:r>
          <m:t>o</m:t>
        </m:r>
        <m:r>
          <m:t>n</m:t>
        </m:r>
        <m:r>
          <m:rPr>
            <m:sty m:val="p"/>
          </m:rPr>
          <m:t>*</m:t>
        </m:r>
        <m:r>
          <m:rPr>
            <m:sty m:val="p"/>
          </m:rPr>
          <m:t>*</m:t>
        </m:r>
        <m:r>
          <m:t>o</m:t>
        </m:r>
        <m:r>
          <m:t>f</m:t>
        </m:r>
        <m:r>
          <m:t>p</m:t>
        </m:r>
        <m:r>
          <m:t>r</m:t>
        </m:r>
        <m:r>
          <m:t>o</m:t>
        </m:r>
        <m:r>
          <m:t>p</m:t>
        </m:r>
        <m:r>
          <m:t>o</m:t>
        </m:r>
        <m:r>
          <m:t>s</m:t>
        </m:r>
        <m:r>
          <m:t>e</m:t>
        </m:r>
        <m:r>
          <m:t>d</m:t>
        </m:r>
        <m:r>
          <m:t>i</m:t>
        </m:r>
        <m:r>
          <m:t>n</m:t>
        </m:r>
        <m:r>
          <m:t>v</m:t>
        </m:r>
        <m:r>
          <m:t>e</m:t>
        </m:r>
        <m:r>
          <m:t>s</m:t>
        </m:r>
        <m:r>
          <m:t>t</m:t>
        </m:r>
        <m:r>
          <m:t>m</m:t>
        </m:r>
        <m:r>
          <m:t>e</m:t>
        </m:r>
        <m:r>
          <m:t>n</m:t>
        </m:r>
        <m:r>
          <m:t>t</m:t>
        </m:r>
        <m:r>
          <m:rPr>
            <m:sty m:val="p"/>
          </m:rPr>
          <m:t>,</m:t>
        </m:r>
        <m:r>
          <m:t>p</m:t>
        </m:r>
        <m:r>
          <m:t>r</m:t>
        </m:r>
        <m:r>
          <m:t>i</m:t>
        </m:r>
        <m:r>
          <m:t>n</m:t>
        </m:r>
        <m:r>
          <m:t>c</m:t>
        </m:r>
        <m:r>
          <m:t>i</m:t>
        </m:r>
        <m:r>
          <m:t>p</m:t>
        </m:r>
        <m:r>
          <m:t>a</m:t>
        </m:r>
        <m:r>
          <m:t>l</m:t>
        </m:r>
        <m:r>
          <m:t>l</m:t>
        </m:r>
        <m:r>
          <m:t>y</m:t>
        </m:r>
        <m:r>
          <m:t>s</m:t>
        </m:r>
        <m:r>
          <m:t>e</m:t>
        </m:r>
        <m:r>
          <m:t>v</m:t>
        </m:r>
        <m:r>
          <m:t>e</m:t>
        </m:r>
        <m:r>
          <m:t>n</m:t>
        </m:r>
        <m:r>
          <m:t>c</m:t>
        </m:r>
        <m:r>
          <m:t>o</m:t>
        </m:r>
        <m:r>
          <m:t>m</m:t>
        </m:r>
        <m:r>
          <m:t>b</m:t>
        </m:r>
        <m:r>
          <m:t>i</m:t>
        </m:r>
        <m:r>
          <m:t>n</m:t>
        </m:r>
        <m:r>
          <m:t>e</m:t>
        </m:r>
        <m:r>
          <m:t>d</m:t>
        </m:r>
        <m:r>
          <m:rPr>
            <m:sty m:val="p"/>
          </m:rPr>
          <m:t>−</m:t>
        </m:r>
        <m:r>
          <m:t>c</m:t>
        </m:r>
        <m:r>
          <m:t>y</m:t>
        </m:r>
        <m:r>
          <m:t>c</m:t>
        </m:r>
        <m:r>
          <m:t>l</m:t>
        </m:r>
        <m:r>
          <m:t>e</m:t>
        </m:r>
        <m:r>
          <m:t>u</m:t>
        </m:r>
        <m:r>
          <m:t>n</m:t>
        </m:r>
        <m:r>
          <m:t>i</m:t>
        </m:r>
        <m:r>
          <m:t>t</m:t>
        </m:r>
        <m:r>
          <m:t>s</m:t>
        </m:r>
        <m:r>
          <m:rPr>
            <m:sty m:val="p"/>
          </m:rPr>
          <m:t>,</m:t>
        </m:r>
        <m:r>
          <m:t>t</m:t>
        </m:r>
        <m:r>
          <m:t>r</m:t>
        </m:r>
        <m:r>
          <m:t>a</m:t>
        </m:r>
        <m:r>
          <m:t>n</m:t>
        </m:r>
        <m:r>
          <m:t>s</m:t>
        </m:r>
        <m:r>
          <m:t>m</m:t>
        </m:r>
        <m:r>
          <m:t>i</m:t>
        </m:r>
        <m:r>
          <m:t>s</m:t>
        </m:r>
        <m:r>
          <m:t>s</m:t>
        </m:r>
        <m:r>
          <m:t>i</m:t>
        </m:r>
        <m:r>
          <m:t>o</m:t>
        </m:r>
        <m:r>
          <m:t>n</m:t>
        </m:r>
        <m:r>
          <m:t>i</m:t>
        </m:r>
        <m:r>
          <m:t>n</m:t>
        </m:r>
        <m:r>
          <m:t>f</m:t>
        </m:r>
        <m:r>
          <m:t>r</m:t>
        </m:r>
        <m:r>
          <m:t>a</m:t>
        </m:r>
        <m:r>
          <m:t>s</m:t>
        </m:r>
        <m:r>
          <m:t>t</m:t>
        </m:r>
        <m:r>
          <m:t>r</m:t>
        </m:r>
        <m:r>
          <m:t>u</m:t>
        </m:r>
        <m:r>
          <m:t>c</m:t>
        </m:r>
        <m:r>
          <m:t>t</m:t>
        </m:r>
        <m:r>
          <m:t>u</m:t>
        </m:r>
        <m:r>
          <m:t>r</m:t>
        </m:r>
        <m:r>
          <m:t>e</m:t>
        </m:r>
        <m:r>
          <m:rPr>
            <m:sty m:val="p"/>
          </m:rPr>
          <m:t>,</m:t>
        </m:r>
        <m:r>
          <m:t>a</m:t>
        </m:r>
        <m:r>
          <m:t>n</m:t>
        </m:r>
        <m:r>
          <m:t>d</m:t>
        </m:r>
        <m:r>
          <m:t>b</m:t>
        </m:r>
        <m:r>
          <m:t>a</m:t>
        </m:r>
        <m:r>
          <m:t>t</m:t>
        </m:r>
        <m:r>
          <m:t>t</m:t>
        </m:r>
        <m:r>
          <m:t>e</m:t>
        </m:r>
        <m:r>
          <m:t>r</m:t>
        </m:r>
        <m:r>
          <m:t>y</m:t>
        </m:r>
        <m:r>
          <m:t>s</m:t>
        </m:r>
        <m:r>
          <m:t>t</m:t>
        </m:r>
        <m:r>
          <m:t>o</m:t>
        </m:r>
        <m:r>
          <m:t>r</m:t>
        </m:r>
        <m:r>
          <m:t>a</m:t>
        </m:r>
        <m:r>
          <m:t>g</m:t>
        </m:r>
        <m:r>
          <m:t>e</m:t>
        </m:r>
        <m:r>
          <m:rPr>
            <m:sty m:val="p"/>
          </m:rPr>
          <m:t>.</m:t>
        </m:r>
        <m:r>
          <m:t>E</m:t>
        </m:r>
        <m:r>
          <m:t>n</m:t>
        </m:r>
        <m:r>
          <m:t>t</m:t>
        </m:r>
        <m:r>
          <m:t>e</m:t>
        </m:r>
        <m:r>
          <m:t>r</m:t>
        </m:r>
        <m:r>
          <m:t>g</m:t>
        </m:r>
        <m:r>
          <m:t>y</m:t>
        </m:r>
        <m:r>
          <m:t>i</m:t>
        </m:r>
        <m:r>
          <m:t>n</m:t>
        </m:r>
        <m:r>
          <m:t>i</m:t>
        </m:r>
        <m:r>
          <m:t>t</m:t>
        </m:r>
        <m:r>
          <m:t>i</m:t>
        </m:r>
        <m:r>
          <m:t>a</m:t>
        </m:r>
        <m:r>
          <m:t>l</m:t>
        </m:r>
        <m:r>
          <m:t>l</m:t>
        </m:r>
        <m:r>
          <m:t>y</m:t>
        </m:r>
        <m:r>
          <m:t>a</m:t>
        </m:r>
        <m:r>
          <m:t>d</m:t>
        </m:r>
        <m:r>
          <m:t>d</m:t>
        </m:r>
        <m:r>
          <m:t>e</m:t>
        </m:r>
        <m:r>
          <m:t>d</m:t>
        </m:r>
        <m:r>
          <m:t>r</m:t>
        </m:r>
        <m:r>
          <m:t>o</m:t>
        </m:r>
        <m:r>
          <m:t>u</m:t>
        </m:r>
        <m:r>
          <m:t>g</m:t>
        </m:r>
        <m:r>
          <m:t>h</m:t>
        </m:r>
        <m:r>
          <m:t>l</m:t>
        </m:r>
        <m:r>
          <m:t>y</m:t>
        </m:r>
        <m:r>
          <m:rPr>
            <m:sty m:val="p"/>
          </m:rPr>
          <m:t>*</m:t>
        </m:r>
        <m:r>
          <m:rPr>
            <m:sty m:val="p"/>
          </m:rPr>
          <m:t>*</m:t>
        </m:r>
      </m:oMath>
      <w:r>
        <w:rPr>
          <w:b/>
          <w:bCs/>
        </w:rPr>
        <w:t xml:space="preserve">14 billion</w:t>
      </w:r>
      <w:r>
        <w:t xml:space="preserve"> </w:t>
      </w:r>
      <w:r>
        <w:t xml:space="preserve">to its four-year capital plan in connection with the agreement, while noting that additional renewables, transmission financing, and potential nuclear-upgrade investments were not yet fully reflected.</w:t>
      </w:r>
    </w:p>
    <w:p>
      <w:pPr>
        <w:pStyle w:val="BodyText"/>
      </w:pPr>
      <w:r>
        <w:t xml:space="preserve">The Louisiana Public Service Commission had indicated a process intended to support a decision in</w:t>
      </w:r>
      <w:r>
        <w:t xml:space="preserve"> </w:t>
      </w:r>
      <w:r>
        <w:rPr>
          <w:b/>
          <w:bCs/>
        </w:rPr>
        <w:t xml:space="preserve">December 2026</w:t>
      </w:r>
      <w:r>
        <w:t xml:space="preserve"> </w:t>
      </w:r>
      <w:r>
        <w:t xml:space="preserve">under the state’s Lightning Initiative. Accordingly, this quarter is unlikely to resolve the regulatory question, but investors should watch closely for updates on:</w:t>
      </w:r>
    </w:p>
    <w:p>
      <w:pPr>
        <w:pStyle w:val="Compact"/>
        <w:numPr>
          <w:ilvl w:val="0"/>
          <w:numId w:val="1003"/>
        </w:numPr>
      </w:pPr>
      <w:r>
        <w:t xml:space="preserve">Procedural milestones and intervenor activity.</w:t>
      </w:r>
    </w:p>
    <w:p>
      <w:pPr>
        <w:pStyle w:val="Compact"/>
        <w:numPr>
          <w:ilvl w:val="0"/>
          <w:numId w:val="1003"/>
        </w:numPr>
      </w:pPr>
      <w:r>
        <w:t xml:space="preserve">The expected timing and design of generation, transmission, storage, and renewable investments.</w:t>
      </w:r>
    </w:p>
    <w:p>
      <w:pPr>
        <w:pStyle w:val="Compact"/>
        <w:numPr>
          <w:ilvl w:val="0"/>
          <w:numId w:val="1003"/>
        </w:numPr>
      </w:pPr>
      <w:r>
        <w:t xml:space="preserve">Customer-payment protections, including minimum bills, credit support, termination provisions, and contributions toward system costs.</w:t>
      </w:r>
    </w:p>
    <w:p>
      <w:pPr>
        <w:pStyle w:val="Compact"/>
        <w:numPr>
          <w:ilvl w:val="0"/>
          <w:numId w:val="1003"/>
        </w:numPr>
      </w:pPr>
      <w:r>
        <w:t xml:space="preserve">Whether the project schedule remains aligned with the anticipated 2030–2031 commercial-operation dates for the new combined-cycle capacity.</w:t>
      </w:r>
    </w:p>
    <w:p>
      <w:pPr>
        <w:pStyle w:val="FirstParagraph"/>
      </w:pPr>
      <w:r>
        <w:t xml:space="preserve">The strategic importance is substantial: management estimates that its Fair Share Plus framework will deliver roughly</w:t>
      </w:r>
      <w:r>
        <w:t xml:space="preserve"> </w:t>
      </w:r>
      <m:oMath>
        <m:r>
          <m:t>7</m:t>
        </m:r>
        <m:r>
          <m:t>b</m:t>
        </m:r>
        <m:r>
          <m:t>i</m:t>
        </m:r>
        <m:r>
          <m:t>l</m:t>
        </m:r>
        <m:r>
          <m:t>l</m:t>
        </m:r>
        <m:r>
          <m:t>i</m:t>
        </m:r>
        <m:r>
          <m:t>o</m:t>
        </m:r>
        <m:r>
          <m:t>n</m:t>
        </m:r>
        <m:r>
          <m:t>o</m:t>
        </m:r>
        <m:r>
          <m:t>f</m:t>
        </m:r>
        <m:r>
          <m:t>c</m:t>
        </m:r>
        <m:r>
          <m:t>u</m:t>
        </m:r>
        <m:r>
          <m:t>s</m:t>
        </m:r>
        <m:r>
          <m:t>t</m:t>
        </m:r>
        <m:r>
          <m:t>o</m:t>
        </m:r>
        <m:r>
          <m:t>m</m:t>
        </m:r>
        <m:r>
          <m:t>e</m:t>
        </m:r>
        <m:r>
          <m:t>r</m:t>
        </m:r>
        <m:r>
          <m:t>b</m:t>
        </m:r>
        <m:r>
          <m:t>e</m:t>
        </m:r>
        <m:r>
          <m:t>n</m:t>
        </m:r>
        <m:r>
          <m:t>e</m:t>
        </m:r>
        <m:r>
          <m:t>f</m:t>
        </m:r>
        <m:r>
          <m:t>i</m:t>
        </m:r>
        <m:r>
          <m:t>t</m:t>
        </m:r>
        <m:r>
          <m:t>s</m:t>
        </m:r>
        <m:r>
          <m:rPr>
            <m:sty m:val="p"/>
          </m:rPr>
          <m:t>*</m:t>
        </m:r>
        <m:r>
          <m:rPr>
            <m:sty m:val="p"/>
          </m:rPr>
          <m:t>*</m:t>
        </m:r>
        <m:r>
          <m:t>o</m:t>
        </m:r>
        <m:r>
          <m:t>v</m:t>
        </m:r>
        <m:r>
          <m:t>e</m:t>
        </m:r>
        <m:r>
          <m:t>r</m:t>
        </m:r>
        <m:r>
          <m:t>t</m:t>
        </m:r>
        <m:r>
          <m:t>h</m:t>
        </m:r>
        <m:r>
          <m:t>e</m:t>
        </m:r>
        <m:r>
          <m:t>l</m:t>
        </m:r>
        <m:r>
          <m:t>i</m:t>
        </m:r>
        <m:r>
          <m:t>v</m:t>
        </m:r>
        <m:r>
          <m:t>e</m:t>
        </m:r>
        <m:r>
          <m:t>s</m:t>
        </m:r>
        <m:r>
          <m:t>o</m:t>
        </m:r>
        <m:r>
          <m:t>f</m:t>
        </m:r>
        <m:r>
          <m:t>r</m:t>
        </m:r>
        <m:r>
          <m:t>e</m:t>
        </m:r>
        <m:r>
          <m:t>l</m:t>
        </m:r>
        <m:r>
          <m:t>e</m:t>
        </m:r>
        <m:r>
          <m:t>v</m:t>
        </m:r>
        <m:r>
          <m:t>a</m:t>
        </m:r>
        <m:r>
          <m:t>n</m:t>
        </m:r>
        <m:r>
          <m:t>t</m:t>
        </m:r>
        <m:r>
          <m:t>a</m:t>
        </m:r>
        <m:r>
          <m:t>g</m:t>
        </m:r>
        <m:r>
          <m:t>r</m:t>
        </m:r>
        <m:r>
          <m:t>e</m:t>
        </m:r>
        <m:r>
          <m:t>e</m:t>
        </m:r>
        <m:r>
          <m:t>m</m:t>
        </m:r>
        <m:r>
          <m:t>e</m:t>
        </m:r>
        <m:r>
          <m:t>n</m:t>
        </m:r>
        <m:r>
          <m:t>t</m:t>
        </m:r>
        <m:r>
          <m:t>s</m:t>
        </m:r>
        <m:r>
          <m:rPr>
            <m:sty m:val="p"/>
          </m:rPr>
          <m:t>,</m:t>
        </m:r>
        <m:r>
          <m:t>i</m:t>
        </m:r>
        <m:r>
          <m:t>n</m:t>
        </m:r>
        <m:r>
          <m:t>c</m:t>
        </m:r>
        <m:r>
          <m:t>l</m:t>
        </m:r>
        <m:r>
          <m:t>u</m:t>
        </m:r>
        <m:r>
          <m:t>d</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2 billion</w:t>
      </w:r>
      <w:r>
        <w:t xml:space="preserve"> </w:t>
      </w:r>
      <w:r>
        <w:t xml:space="preserve">associated with the Meta arrangement. The investment case depends on regulators accepting that large-load growth benefits—not burdens—existing customers.</w:t>
      </w:r>
    </w:p>
    <w:bookmarkEnd w:id="12"/>
    <w:bookmarkStart w:id="13" w:name="Xee729040da84ecdee1d46659c496c90f8d27e1c"/>
    <w:p>
      <w:pPr>
        <w:pStyle w:val="Heading3"/>
      </w:pPr>
      <w:r>
        <w:t xml:space="preserve">4. Capital-plan credibility: execution, supply chain, and cost discipline</w:t>
      </w:r>
    </w:p>
    <w:p>
      <w:pPr>
        <w:pStyle w:val="FirstParagraph"/>
      </w:pPr>
      <w:r>
        <w:t xml:space="preserve">At Investor Day, Entergy outlined a</w:t>
      </w:r>
      <w:r>
        <w:t xml:space="preserve"> </w:t>
      </w:r>
      <m:oMath>
        <m:r>
          <m:t>67</m:t>
        </m:r>
        <m:r>
          <m:t>b</m:t>
        </m:r>
        <m:r>
          <m:t>i</m:t>
        </m:r>
        <m:r>
          <m:t>l</m:t>
        </m:r>
        <m:r>
          <m:t>l</m:t>
        </m:r>
        <m:r>
          <m:t>i</m:t>
        </m:r>
        <m:r>
          <m:t>o</m:t>
        </m:r>
        <m:r>
          <m:t>n</m:t>
        </m:r>
        <m:r>
          <m:rPr>
            <m:sty m:val="p"/>
          </m:rPr>
          <m:t>*</m:t>
        </m:r>
        <m:r>
          <m:rPr>
            <m:sty m:val="p"/>
          </m:rPr>
          <m:t>*</m:t>
        </m:r>
        <m:r>
          <m:t>c</m:t>
        </m:r>
        <m:r>
          <m:t>a</m:t>
        </m:r>
        <m:r>
          <m:t>p</m:t>
        </m:r>
        <m:r>
          <m:t>i</m:t>
        </m:r>
        <m:r>
          <m:t>t</m:t>
        </m:r>
        <m:r>
          <m:t>a</m:t>
        </m:r>
        <m:r>
          <m:t>l</m:t>
        </m:r>
        <m:r>
          <m:t>p</m:t>
        </m:r>
        <m:r>
          <m:t>l</m:t>
        </m:r>
        <m:r>
          <m:t>a</m:t>
        </m:r>
        <m:r>
          <m:t>n</m:t>
        </m:r>
        <m:r>
          <m:t>t</m:t>
        </m:r>
        <m:r>
          <m:t>h</m:t>
        </m:r>
        <m:r>
          <m:t>r</m:t>
        </m:r>
        <m:r>
          <m:t>o</m:t>
        </m:r>
        <m:r>
          <m:t>u</m:t>
        </m:r>
        <m:r>
          <m:t>g</m:t>
        </m:r>
        <m:r>
          <m:t>h</m:t>
        </m:r>
        <m:r>
          <m:t>2030</m:t>
        </m:r>
        <m:r>
          <m:t>a</m:t>
        </m:r>
        <m:r>
          <m:t>n</m:t>
        </m:r>
        <m:r>
          <m:t>d</m:t>
        </m:r>
        <m:r>
          <m:t>a</m:t>
        </m:r>
        <m:r>
          <m:t>p</m:t>
        </m:r>
        <m:r>
          <m:t>r</m:t>
        </m:r>
        <m:r>
          <m:t>o</m:t>
        </m:r>
        <m:r>
          <m:t>j</m:t>
        </m:r>
        <m:r>
          <m:t>e</m:t>
        </m:r>
        <m:r>
          <m:t>c</m:t>
        </m:r>
        <m:r>
          <m:t>t</m:t>
        </m:r>
        <m:r>
          <m:t>e</m:t>
        </m:r>
        <m:r>
          <m:t>d</m:t>
        </m:r>
        <m:r>
          <m:rPr>
            <m:sty m:val="p"/>
          </m:rPr>
          <m:t>*</m:t>
        </m:r>
        <m:r>
          <m:rPr>
            <m:sty m:val="p"/>
          </m:rPr>
          <m:t>*</m:t>
        </m:r>
      </m:oMath>
      <w:r>
        <w:rPr>
          <w:b/>
          <w:bCs/>
        </w:rPr>
        <w:t xml:space="preserve">97 billion rate base by 2030</w:t>
      </w:r>
      <w:r>
        <w:t xml:space="preserve">, implying approximately</w:t>
      </w:r>
      <w:r>
        <w:t xml:space="preserve"> </w:t>
      </w:r>
      <w:r>
        <w:rPr>
          <w:b/>
          <w:bCs/>
        </w:rPr>
        <w:t xml:space="preserve">16% rate-base growth from 2025</w:t>
      </w:r>
      <w:r>
        <w:t xml:space="preserve">. The plan includes generation, more than 1,000 miles of transmission, solar, storage, and resilience-related investment.</w:t>
      </w:r>
    </w:p>
    <w:p>
      <w:pPr>
        <w:pStyle w:val="BodyText"/>
      </w:pPr>
      <w:r>
        <w:t xml:space="preserve">This is a differentiated growth profile, but it is also an unusually large execution program for a regulated utility. The call should be evaluated for evidence that management’s execution assumptions remain intact:</w:t>
      </w:r>
    </w:p>
    <w:p>
      <w:pPr>
        <w:pStyle w:val="Compact"/>
        <w:numPr>
          <w:ilvl w:val="0"/>
          <w:numId w:val="1004"/>
        </w:numPr>
      </w:pPr>
      <w:r>
        <w:t xml:space="preserve">Status of secured turbines, EPC capacity, transformers, breakers, and labor.</w:t>
      </w:r>
    </w:p>
    <w:p>
      <w:pPr>
        <w:pStyle w:val="Compact"/>
        <w:numPr>
          <w:ilvl w:val="0"/>
          <w:numId w:val="1004"/>
        </w:numPr>
      </w:pPr>
      <w:r>
        <w:t xml:space="preserve">Progress at Orange County Advanced Power Station in Texas, which had been expected to be fully online in late summer.</w:t>
      </w:r>
    </w:p>
    <w:p>
      <w:pPr>
        <w:pStyle w:val="Compact"/>
        <w:numPr>
          <w:ilvl w:val="0"/>
          <w:numId w:val="1004"/>
        </w:numPr>
      </w:pPr>
      <w:r>
        <w:t xml:space="preserve">Updates on standardized combined-cycle construction and expected cost/schedule efficiencies.</w:t>
      </w:r>
    </w:p>
    <w:p>
      <w:pPr>
        <w:pStyle w:val="Compact"/>
        <w:numPr>
          <w:ilvl w:val="0"/>
          <w:numId w:val="1004"/>
        </w:numPr>
      </w:pPr>
      <w:r>
        <w:t xml:space="preserve">New transmission milestones and permitting progress.</w:t>
      </w:r>
    </w:p>
    <w:p>
      <w:pPr>
        <w:pStyle w:val="Compact"/>
        <w:numPr>
          <w:ilvl w:val="0"/>
          <w:numId w:val="1004"/>
        </w:numPr>
      </w:pPr>
      <w:r>
        <w:t xml:space="preserve">Evidence that renewables and storage can be added economically for customers with clean-energy requirements.</w:t>
      </w:r>
    </w:p>
    <w:p>
      <w:pPr>
        <w:pStyle w:val="FirstParagraph"/>
      </w:pPr>
      <w:r>
        <w:t xml:space="preserve">Management’s June message was that it has secured</w:t>
      </w:r>
      <w:r>
        <w:t xml:space="preserve"> </w:t>
      </w:r>
      <w:r>
        <w:rPr>
          <w:b/>
          <w:bCs/>
        </w:rPr>
        <w:t xml:space="preserve">24 GW of dispatchable-generation equipment/capability through 2032</w:t>
      </w:r>
      <w:r>
        <w:t xml:space="preserve"> </w:t>
      </w:r>
      <w:r>
        <w:t xml:space="preserve">and is using scale, repeatable designs, and long-term EPC relationships to lower execution risk. Investors should seek tangible evidence in 2Q that this advantage is translating into firm project schedules and cost control.</w:t>
      </w:r>
    </w:p>
    <w:bookmarkEnd w:id="13"/>
    <w:bookmarkStart w:id="14" w:name="X04fef7a650de0a02322a0e1ae508a7c22aecf1c"/>
    <w:p>
      <w:pPr>
        <w:pStyle w:val="Heading3"/>
      </w:pPr>
      <w:r>
        <w:t xml:space="preserve">5. Financing and dilution remain the principal financial trade-off</w:t>
      </w:r>
    </w:p>
    <w:p>
      <w:pPr>
        <w:pStyle w:val="FirstParagraph"/>
      </w:pPr>
      <w:r>
        <w:t xml:space="preserve">The plan is capital intensive. At Investor Day, Entergy assumed approximately</w:t>
      </w:r>
      <w:r>
        <w:t xml:space="preserve"> </w:t>
      </w:r>
      <m:oMath>
        <m:r>
          <m:t>7</m:t>
        </m:r>
        <m:r>
          <m:t>b</m:t>
        </m:r>
        <m:r>
          <m:t>i</m:t>
        </m:r>
        <m:r>
          <m:t>l</m:t>
        </m:r>
        <m:r>
          <m:t>l</m:t>
        </m:r>
        <m:r>
          <m:t>i</m:t>
        </m:r>
        <m:r>
          <m:t>o</m:t>
        </m:r>
        <m:r>
          <m:t>n</m:t>
        </m:r>
        <m:r>
          <m:t>o</m:t>
        </m:r>
        <m:r>
          <m:t>f</m:t>
        </m:r>
        <m:r>
          <m:t>e</m:t>
        </m:r>
        <m:r>
          <m:t>q</m:t>
        </m:r>
        <m:r>
          <m:t>u</m:t>
        </m:r>
        <m:r>
          <m:t>i</m:t>
        </m:r>
        <m:r>
          <m:t>t</m:t>
        </m:r>
        <m:r>
          <m:t>y</m:t>
        </m:r>
        <m:r>
          <m:t>i</m:t>
        </m:r>
        <m:r>
          <m:t>s</m:t>
        </m:r>
        <m:r>
          <m:t>s</m:t>
        </m:r>
        <m:r>
          <m:t>u</m:t>
        </m:r>
        <m:r>
          <m:t>a</m:t>
        </m:r>
        <m:r>
          <m:t>n</m:t>
        </m:r>
        <m:r>
          <m:t>c</m:t>
        </m:r>
        <m:r>
          <m:t>e</m:t>
        </m:r>
        <m:r>
          <m:rPr>
            <m:sty m:val="p"/>
          </m:rPr>
          <m:t>*</m:t>
        </m:r>
        <m:r>
          <m:rPr>
            <m:sty m:val="p"/>
          </m:rPr>
          <m:t>*</m:t>
        </m:r>
        <m:r>
          <m:t>t</m:t>
        </m:r>
        <m:r>
          <m:t>h</m:t>
        </m:r>
        <m:r>
          <m:t>r</m:t>
        </m:r>
        <m:r>
          <m:t>o</m:t>
        </m:r>
        <m:r>
          <m:t>u</m:t>
        </m:r>
        <m:r>
          <m:t>g</m:t>
        </m:r>
        <m:r>
          <m:t>h</m:t>
        </m:r>
        <m:r>
          <m:t>2030</m:t>
        </m:r>
        <m:r>
          <m:rPr>
            <m:sty m:val="p"/>
          </m:rPr>
          <m:t>,</m:t>
        </m:r>
        <m:r>
          <m:t>p</m:t>
        </m:r>
        <m:r>
          <m:t>l</m:t>
        </m:r>
        <m:r>
          <m:t>u</m:t>
        </m:r>
        <m:r>
          <m:t>s</m:t>
        </m:r>
        <m:r>
          <m:rPr>
            <m:sty m:val="p"/>
          </m:rPr>
          <m:t>*</m:t>
        </m:r>
        <m:r>
          <m:rPr>
            <m:sty m:val="p"/>
          </m:rPr>
          <m:t>*</m:t>
        </m:r>
      </m:oMath>
      <w:r>
        <w:rPr>
          <w:b/>
          <w:bCs/>
        </w:rPr>
        <w:t xml:space="preserve">3 billion of junior subordinated notes</w:t>
      </w:r>
      <w:r>
        <w:t xml:space="preserve">, while targeting equity funding of roughly</w:t>
      </w:r>
      <w:r>
        <w:t xml:space="preserve"> </w:t>
      </w:r>
      <w:r>
        <w:rPr>
          <w:b/>
          <w:bCs/>
        </w:rPr>
        <w:t xml:space="preserve">10%–15% of total capital spending</w:t>
      </w:r>
      <w:r>
        <w:t xml:space="preserve">.</w:t>
      </w:r>
    </w:p>
    <w:p>
      <w:pPr>
        <w:pStyle w:val="BodyText"/>
      </w:pPr>
      <w:r>
        <w:t xml:space="preserve">The company has been proactive: in June it settled forward-sale agreements for approximately</w:t>
      </w:r>
      <w:r>
        <w:t xml:space="preserve"> </w:t>
      </w:r>
      <w:r>
        <w:rPr>
          <w:b/>
          <w:bCs/>
        </w:rPr>
        <w:t xml:space="preserve">$672 million</w:t>
      </w:r>
      <w:r>
        <w:t xml:space="preserve"> </w:t>
      </w:r>
      <w:r>
        <w:t xml:space="preserve">of proceeds, and it retained substantial additional forward equity commitments. This helps de-risk near-term funding, but dilution is already visible: diluted average shares outstanding rose to</w:t>
      </w:r>
      <w:r>
        <w:t xml:space="preserve"> </w:t>
      </w:r>
      <w:r>
        <w:rPr>
          <w:b/>
          <w:bCs/>
        </w:rPr>
        <w:t xml:space="preserve">463 million in 1Q26</w:t>
      </w:r>
      <w:r>
        <w:t xml:space="preserve">, from</w:t>
      </w:r>
      <w:r>
        <w:t xml:space="preserve"> </w:t>
      </w:r>
      <w:r>
        <w:rPr>
          <w:b/>
          <w:bCs/>
        </w:rPr>
        <w:t xml:space="preserve">441 million</w:t>
      </w:r>
      <w:r>
        <w:t xml:space="preserve"> </w:t>
      </w:r>
      <w:r>
        <w:t xml:space="preserve">a year earlier, reducing EPS growth from otherwise stronger underlying utility earnings.</w:t>
      </w:r>
    </w:p>
    <w:p>
      <w:pPr>
        <w:pStyle w:val="BodyText"/>
      </w:pPr>
      <w:r>
        <w:t xml:space="preserve">Investors should listen for:</w:t>
      </w:r>
    </w:p>
    <w:p>
      <w:pPr>
        <w:pStyle w:val="Compact"/>
        <w:numPr>
          <w:ilvl w:val="0"/>
          <w:numId w:val="1005"/>
        </w:numPr>
      </w:pPr>
      <w:r>
        <w:t xml:space="preserve">Updated outstanding-forward-equity balances and expected settlement timing.</w:t>
      </w:r>
    </w:p>
    <w:p>
      <w:pPr>
        <w:pStyle w:val="Compact"/>
        <w:numPr>
          <w:ilvl w:val="0"/>
          <w:numId w:val="1005"/>
        </w:numPr>
      </w:pPr>
      <w:r>
        <w:t xml:space="preserve">Whether the $7 billion equity assumption remains appropriate after the June transactions.</w:t>
      </w:r>
    </w:p>
    <w:p>
      <w:pPr>
        <w:pStyle w:val="Compact"/>
        <w:numPr>
          <w:ilvl w:val="0"/>
          <w:numId w:val="1005"/>
        </w:numPr>
      </w:pPr>
      <w:r>
        <w:t xml:space="preserve">Any change in the expected 10%–15% equity financing mix.</w:t>
      </w:r>
    </w:p>
    <w:p>
      <w:pPr>
        <w:pStyle w:val="Compact"/>
        <w:numPr>
          <w:ilvl w:val="0"/>
          <w:numId w:val="1005"/>
        </w:numPr>
      </w:pPr>
      <w:r>
        <w:t xml:space="preserve">Credit-metric outlook and the ability to sustain FFO-to-adjusted-debt above management’s stated 15% Moody’s threshold.</w:t>
      </w:r>
    </w:p>
    <w:p>
      <w:pPr>
        <w:pStyle w:val="Compact"/>
        <w:numPr>
          <w:ilvl w:val="0"/>
          <w:numId w:val="1005"/>
        </w:numPr>
      </w:pPr>
      <w:r>
        <w:t xml:space="preserve">The extent to which customer advances, minimum bills, AFUDC, and regulatory mechanisms offset external financing needs.</w:t>
      </w:r>
    </w:p>
    <w:bookmarkEnd w:id="14"/>
    <w:bookmarkEnd w:id="15"/>
    <w:bookmarkStart w:id="16" w:name="what-could-drive-a-positive-reaction"/>
    <w:p>
      <w:pPr>
        <w:pStyle w:val="Heading2"/>
      </w:pPr>
      <w:r>
        <w:t xml:space="preserve">What could drive a positive reaction</w:t>
      </w:r>
    </w:p>
    <w:p>
      <w:pPr>
        <w:pStyle w:val="FirstParagraph"/>
      </w:pPr>
      <w:r>
        <w:t xml:space="preserve">A constructive result would likely include:</w:t>
      </w:r>
    </w:p>
    <w:p>
      <w:pPr>
        <w:pStyle w:val="Compact"/>
        <w:numPr>
          <w:ilvl w:val="0"/>
          <w:numId w:val="1006"/>
        </w:numPr>
      </w:pPr>
      <w:r>
        <w:rPr>
          <w:b/>
          <w:bCs/>
        </w:rPr>
        <w:t xml:space="preserve">Clear reaffirmation of the</w:t>
      </w:r>
      <w:r>
        <w:rPr>
          <w:b/>
          <w:bCs/>
        </w:rPr>
        <w:t xml:space="preserve"> </w:t>
      </w:r>
      <m:oMath>
        <m:r>
          <m:t>4.25</m:t>
        </m:r>
        <m:r>
          <m:rPr>
            <m:sty m:val="p"/>
          </m:rPr>
          <m:t>–</m:t>
        </m:r>
      </m:oMath>
      <w:r>
        <w:rPr>
          <w:b/>
          <w:bCs/>
        </w:rPr>
        <w:t xml:space="preserve">4.45 2026 EPS range</w:t>
      </w:r>
      <w:r>
        <w:t xml:space="preserve">, ideally with confidence in the midpoint or better.</w:t>
      </w:r>
    </w:p>
    <w:p>
      <w:pPr>
        <w:pStyle w:val="Compact"/>
        <w:numPr>
          <w:ilvl w:val="0"/>
          <w:numId w:val="1006"/>
        </w:numPr>
      </w:pPr>
      <w:r>
        <w:t xml:space="preserve">Continued</w:t>
      </w:r>
      <w:r>
        <w:t xml:space="preserve"> </w:t>
      </w:r>
      <w:r>
        <w:rPr>
          <w:b/>
          <w:bCs/>
        </w:rPr>
        <w:t xml:space="preserve">double-digit industrial sales growth</w:t>
      </w:r>
      <w:r>
        <w:t xml:space="preserve">, with evidence that customers are ramping on schedule.</w:t>
      </w:r>
    </w:p>
    <w:p>
      <w:pPr>
        <w:pStyle w:val="Compact"/>
        <w:numPr>
          <w:ilvl w:val="0"/>
          <w:numId w:val="1006"/>
        </w:numPr>
      </w:pPr>
      <w:r>
        <w:t xml:space="preserve">No deterioration in the expected</w:t>
      </w:r>
      <w:r>
        <w:t xml:space="preserve"> </w:t>
      </w:r>
      <w:r>
        <w:rPr>
          <w:b/>
          <w:bCs/>
        </w:rPr>
        <w:t xml:space="preserve">Meta/Louisiana regulatory timeline</w:t>
      </w:r>
      <w:r>
        <w:t xml:space="preserve"> </w:t>
      </w:r>
      <w:r>
        <w:t xml:space="preserve">or project economics.</w:t>
      </w:r>
    </w:p>
    <w:p>
      <w:pPr>
        <w:pStyle w:val="Compact"/>
        <w:numPr>
          <w:ilvl w:val="0"/>
          <w:numId w:val="1006"/>
        </w:numPr>
      </w:pPr>
      <w:r>
        <w:t xml:space="preserve">Confirmation that O&amp;M pressure is temporary, planned, and offset by broader operational productivity.</w:t>
      </w:r>
    </w:p>
    <w:p>
      <w:pPr>
        <w:pStyle w:val="Compact"/>
        <w:numPr>
          <w:ilvl w:val="0"/>
          <w:numId w:val="1006"/>
        </w:numPr>
      </w:pPr>
      <w:r>
        <w:t xml:space="preserve">Further evidence that equipment, engineering, and labor capacity are secured for the large-generation buildout.</w:t>
      </w:r>
    </w:p>
    <w:p>
      <w:pPr>
        <w:pStyle w:val="Compact"/>
        <w:numPr>
          <w:ilvl w:val="0"/>
          <w:numId w:val="1006"/>
        </w:numPr>
      </w:pPr>
      <w:r>
        <w:t xml:space="preserve">No incremental surprise in equity needs, dilution, or credit-metric pressure.</w:t>
      </w:r>
    </w:p>
    <w:bookmarkEnd w:id="16"/>
    <w:bookmarkStart w:id="17" w:name="what-could-disappoint"/>
    <w:p>
      <w:pPr>
        <w:pStyle w:val="Heading2"/>
      </w:pPr>
      <w:r>
        <w:t xml:space="preserve">What could disappoint</w:t>
      </w:r>
    </w:p>
    <w:p>
      <w:pPr>
        <w:pStyle w:val="FirstParagraph"/>
      </w:pPr>
      <w:r>
        <w:t xml:space="preserve">The main downside risks are less about a single-quarter EPS miss and more about any signal that the long-term framework is becoming harder to execute:</w:t>
      </w:r>
    </w:p>
    <w:p>
      <w:pPr>
        <w:pStyle w:val="Compact"/>
        <w:numPr>
          <w:ilvl w:val="0"/>
          <w:numId w:val="1007"/>
        </w:numPr>
      </w:pPr>
      <w:r>
        <w:t xml:space="preserve">Guidance pressure from higher O&amp;M, financing costs, adverse weather, or dilution.</w:t>
      </w:r>
    </w:p>
    <w:p>
      <w:pPr>
        <w:pStyle w:val="Compact"/>
        <w:numPr>
          <w:ilvl w:val="0"/>
          <w:numId w:val="1007"/>
        </w:numPr>
      </w:pPr>
      <w:r>
        <w:t xml:space="preserve">Slower-than-expected industrial/data-center ramping.</w:t>
      </w:r>
    </w:p>
    <w:p>
      <w:pPr>
        <w:pStyle w:val="Compact"/>
        <w:numPr>
          <w:ilvl w:val="0"/>
          <w:numId w:val="1007"/>
        </w:numPr>
      </w:pPr>
      <w:r>
        <w:t xml:space="preserve">Regulatory delay, changed economics, or heightened opposition around the Louisiana Meta investment.</w:t>
      </w:r>
    </w:p>
    <w:p>
      <w:pPr>
        <w:pStyle w:val="Compact"/>
        <w:numPr>
          <w:ilvl w:val="0"/>
          <w:numId w:val="1007"/>
        </w:numPr>
      </w:pPr>
      <w:r>
        <w:t xml:space="preserve">Higher project costs, equipment bottlenecks, or transmission delays.</w:t>
      </w:r>
    </w:p>
    <w:p>
      <w:pPr>
        <w:pStyle w:val="Compact"/>
        <w:numPr>
          <w:ilvl w:val="0"/>
          <w:numId w:val="1007"/>
        </w:numPr>
      </w:pPr>
      <w:r>
        <w:t xml:space="preserve">A need for materially more equity than the stated 10%–15% capital-plan range.</w:t>
      </w:r>
    </w:p>
    <w:p>
      <w:pPr>
        <w:pStyle w:val="Compact"/>
        <w:numPr>
          <w:ilvl w:val="0"/>
          <w:numId w:val="1007"/>
        </w:numPr>
      </w:pPr>
      <w:r>
        <w:t xml:space="preserve">Evidence that customer benefits and affordability protections are insufficient to sustain regulatory support.</w:t>
      </w:r>
    </w:p>
    <w:bookmarkEnd w:id="17"/>
    <w:bookmarkStart w:id="19" w:name="bottom-line"/>
    <w:p>
      <w:pPr>
        <w:pStyle w:val="Heading2"/>
      </w:pPr>
      <w:r>
        <w:t xml:space="preserve">Bottom line</w:t>
      </w:r>
    </w:p>
    <w:p>
      <w:pPr>
        <w:pStyle w:val="FirstParagraph"/>
      </w:pPr>
      <w:r>
        <w:rPr>
          <w:b/>
          <w:bCs/>
        </w:rPr>
        <w:t xml:space="preserve">ETR’s 2Q26 report is primarily an execution-validation event.</w:t>
      </w:r>
      <w:r>
        <w:t xml:space="preserve"> </w:t>
      </w:r>
      <w:r>
        <w:t xml:space="preserve">The company has already laid out an exceptional long-term growth framework: 9% retail-sales growth, $67 billion of capital investment, $97 billion of rate base by 2030, and greater than 8% base-case EPS growth through 2035. The burden now is to demonstrate that load is arriving, large customer contracts are translating into durable cash flows, regulators remain constructive, and financing can support the buildout without excessive dilution.</w:t>
      </w:r>
    </w:p>
    <w:p>
      <w:pPr>
        <w:pStyle w:val="BodyText"/>
      </w:pPr>
      <w:r>
        <w:t xml:space="preserve">For this quarter, the highest-value datapoints will be industrial-sales momentum, full-year guidance confidence, Louisiana/Meta regulatory progress, O&amp;M discipline, and updated financing detail.</w:t>
      </w:r>
    </w:p>
    <w:p>
      <w:r>
        <w:pict>
          <v:rect style="width:0;height:1.5pt" o:hralign="center" o:hrstd="t" o:hr="t"/>
        </w:pict>
      </w:r>
    </w:p>
    <w:bookmarkStart w:id="18" w:name="key-source-materials-reviewed"/>
    <w:p>
      <w:pPr>
        <w:pStyle w:val="Heading3"/>
      </w:pPr>
      <w:r>
        <w:t xml:space="preserve">Key source materials reviewed</w:t>
      </w:r>
    </w:p>
    <w:p>
      <w:pPr>
        <w:pStyle w:val="Compact"/>
        <w:numPr>
          <w:ilvl w:val="0"/>
          <w:numId w:val="1008"/>
        </w:numPr>
      </w:pPr>
      <w:r>
        <w:t xml:space="preserve">Entergy 1Q26 earnings release and earnings call — April 29, 2026</w:t>
      </w:r>
    </w:p>
    <w:p>
      <w:pPr>
        <w:pStyle w:val="Compact"/>
        <w:numPr>
          <w:ilvl w:val="0"/>
          <w:numId w:val="1008"/>
        </w:numPr>
      </w:pPr>
      <w:r>
        <w:t xml:space="preserve">Entergy Investor Day transcript — June 9, 2026</w:t>
      </w:r>
    </w:p>
    <w:p>
      <w:pPr>
        <w:pStyle w:val="Compact"/>
        <w:numPr>
          <w:ilvl w:val="0"/>
          <w:numId w:val="1008"/>
        </w:numPr>
      </w:pPr>
      <w:r>
        <w:t xml:space="preserve">Entergy 8-K regarding equity-forward settlements — June 23, 2026</w:t>
      </w:r>
    </w:p>
    <w:p>
      <w:pPr>
        <w:pStyle w:val="Compact"/>
        <w:numPr>
          <w:ilvl w:val="0"/>
          <w:numId w:val="1008"/>
        </w:numPr>
      </w:pPr>
      <w:r>
        <w:t xml:space="preserve">Entergy 2Q26 earnings-date announcement — July 22, 2026</w:t>
      </w:r>
    </w:p>
    <w:bookmarkEnd w:id="18"/>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2026-07-29T01:05:46Z</dcterms:created>
  <dcterms:modified xsi:type="dcterms:W3CDTF">2026-07-29T01:05:46Z</dcterms:modified>
</cp:coreProperties>
</file>

<file path=docProps/custom.xml><?xml version="1.0" encoding="utf-8"?>
<Properties xmlns="http://schemas.openxmlformats.org/officeDocument/2006/custom-properties" xmlns:vt="http://schemas.openxmlformats.org/officeDocument/2006/docPropsVTypes"/>
</file>