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Entergy Corporation (ETR) — Q2 2026 Earnings Preview</w:t>
      </w:r>
    </w:p>
    <w:p>
      <w:r>
        <w:rPr>
          <w:rFonts w:ascii="Calibri" w:hAnsi="Calibri"/>
          <w:b/>
          <w:color w:val="525866"/>
          <w:sz w:val="22"/>
        </w:rPr>
        <w:t xml:space="preserve">Company: </w:t>
      </w:r>
      <w:r>
        <w:rPr>
          <w:rFonts w:ascii="Calibri" w:hAnsi="Calibri"/>
          <w:color w:val="525866"/>
          <w:sz w:val="22"/>
        </w:rPr>
        <w:t xml:space="preserve">Entergy Corporation (ETR)   </w:t>
      </w:r>
      <w:r>
        <w:rPr>
          <w:rFonts w:ascii="Calibri" w:hAnsi="Calibri"/>
          <w:b/>
          <w:color w:val="525866"/>
          <w:sz w:val="22"/>
        </w:rPr>
        <w:t xml:space="preserve">Earnings Date: </w:t>
      </w:r>
      <w:r>
        <w:rPr>
          <w:rFonts w:ascii="Calibri" w:hAnsi="Calibri"/>
          <w:color w:val="525866"/>
          <w:sz w:val="22"/>
        </w:rPr>
        <w:t xml:space="preserve">July 29, 2026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cautious — consensus has been revised down since Q1 earnings (adjusted EPS estimate fell from $1.12 to $1.02), and management explicitly flagged ~$0.15/share of incremental O&amp;M headwind from higher vegetation spending and nuclear maintenance timing; the biggest swing factor is whether industrial/data center load growth continues its Q1 momentum and offsets the cost pressure.</w:t>
      </w:r>
    </w:p>
    <w:p>
      <w:r>
        <w:rPr>
          <w:rFonts w:ascii="Calibri" w:hAnsi="Calibri"/>
          <w:color w:val="525866"/>
          <w:sz w:val="22"/>
        </w:rPr>
        <w:t xml:space="preserve">Heading into Q2 2026, the bar for ETR is set at </w:t>
      </w:r>
      <w:r>
        <w:rPr>
          <w:rFonts w:ascii="Calibri" w:hAnsi="Calibri"/>
          <w:b/>
          <w:color w:val="525866"/>
          <w:sz w:val="22"/>
        </w:rPr>
        <w:t>$1.02 adjusted EPS</w:t>
      </w:r>
      <w:r>
        <w:rPr>
          <w:rFonts w:ascii="Calibri" w:hAnsi="Calibri"/>
          <w:color w:val="525866"/>
          <w:sz w:val="22"/>
        </w:rPr>
        <w:t xml:space="preserve"> (consensus), down from $1.12 at the time of the Q1 print — a meaningful reset driven by management's own guidance that other O&amp;M would run ~$0.15/share above the prior-year quarter due to higher vegetation spending and nuclear maintenance timing. The tone from the April 29 earnings call was constructive on the long-term story (capital plan expanded to $57B, 2029 EPS outlook raised to $6.40, data center pipeline still 7–12 GW outside the plan), but management offered no specific Q2 EPS guidance, leaving the street to price in the cost headwind. Estimate revisions have drifted lower since the print, with FY2026 consensus edging up slightly to $4.42 from $4.39, suggesting the market is comfortable with the full-year guide even as the quarterly bar has been reset. The stock has underperformed both XLU (−0.4%) and the S&amp;P 500 (+4.1%) since the Q1 print, returning −2.1% on an indexed basis, which reflects dilution from the May equity forward issuance (19.2M shares) and June settlement ($672M raised) rather than any fundamental deterioration. The key wildcard is the pace of industrial/data center load ramp: Q1 industrial GWh grew 14.9% YoY and any acceleration — or commentary on new ESA signings beyond the 1,000+ MW already signed year-to-date — could be the catalyst that re-rates the stock heading into the back half of 2026.</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adjusted EPS ($1.02 vs. $1.05 prior year) given the flagged O&amp;M headwind, but revenue expectations ($3.45B) imply continued strong industrial load growth — the bigger swing factor is whether industrial GWh volume sustains its Q1 pace or shows any deceleration.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(excl. one-time charges)</w:t>
            </w:r>
          </w:p>
        </w:tc>
        <w:tc>
          <w:tcPr>
            <w:tcW w:type="dxa" w:w="1234"/>
          </w:tcPr>
          <w:p>
            <w:r>
              <w:rPr>
                <w:rFonts w:ascii="Calibri" w:hAnsi="Calibri"/>
                <w:sz w:val="22"/>
              </w:rPr>
              <w:t>$0.86</w:t>
            </w:r>
          </w:p>
        </w:tc>
        <w:tc>
          <w:tcPr>
            <w:tcW w:type="dxa" w:w="1234"/>
          </w:tcPr>
          <w:p>
            <w:r>
              <w:rPr>
                <w:rFonts w:ascii="Calibri" w:hAnsi="Calibri"/>
                <w:sz w:val="22"/>
              </w:rPr>
              <w:t>$1.05</w:t>
            </w:r>
          </w:p>
        </w:tc>
        <w:tc>
          <w:tcPr>
            <w:tcW w:type="dxa" w:w="1234"/>
          </w:tcPr>
          <w:p>
            <w:r>
              <w:rPr>
                <w:rFonts w:ascii="Calibri" w:hAnsi="Calibri"/>
                <w:sz w:val="22"/>
              </w:rPr>
              <w:t>$1.02</w:t>
            </w:r>
          </w:p>
        </w:tc>
        <w:tc>
          <w:tcPr>
            <w:tcW w:type="dxa" w:w="1234"/>
          </w:tcPr>
          <w:p>
            <w:r>
              <w:rPr>
                <w:rFonts w:ascii="Calibri" w:hAnsi="Calibri"/>
                <w:sz w:val="22"/>
              </w:rPr>
              <w:t>−2.9% YoY</w:t>
            </w:r>
          </w:p>
        </w:tc>
        <w:tc>
          <w:tcPr>
            <w:tcW w:type="dxa" w:w="1234"/>
          </w:tcPr>
          <w:p>
            <w:r>
              <w:rPr>
                <w:rFonts w:ascii="Calibri" w:hAnsi="Calibri"/>
                <w:sz w:val="22"/>
              </w:rPr>
              <w:t>FY 2026: $4.25–$4.45 (affirmed); Q2 O&amp;M ~$0.15 higher YoY</w:t>
            </w:r>
          </w:p>
        </w:tc>
        <w:tc>
          <w:tcPr>
            <w:tcW w:type="dxa" w:w="1234"/>
          </w:tcPr>
          <w:p>
            <w:r>
              <w:rPr>
                <w:rFonts w:ascii="Calibri" w:hAnsi="Calibri"/>
                <w:sz w:val="22"/>
              </w:rPr>
              <w:t>N/A — no specific Q2 EPS guidance midpoint provided</w:t>
            </w:r>
          </w:p>
        </w:tc>
      </w:tr>
      <w:tr>
        <w:tc>
          <w:tcPr>
            <w:tcW w:type="dxa" w:w="1234"/>
          </w:tcPr>
          <w:p>
            <w:r>
              <w:rPr>
                <w:rFonts w:ascii="Calibri" w:hAnsi="Calibri"/>
                <w:sz w:val="22"/>
              </w:rPr>
              <w:t>Total Revenue</w:t>
            </w:r>
          </w:p>
        </w:tc>
        <w:tc>
          <w:tcPr>
            <w:tcW w:type="dxa" w:w="1234"/>
          </w:tcPr>
          <w:p>
            <w:r>
              <w:rPr>
                <w:rFonts w:ascii="Calibri" w:hAnsi="Calibri"/>
                <w:sz w:val="22"/>
              </w:rPr>
              <w:t>$3.19B</w:t>
            </w:r>
          </w:p>
        </w:tc>
        <w:tc>
          <w:tcPr>
            <w:tcW w:type="dxa" w:w="1234"/>
          </w:tcPr>
          <w:p>
            <w:r>
              <w:rPr>
                <w:rFonts w:ascii="Calibri" w:hAnsi="Calibri"/>
                <w:sz w:val="22"/>
              </w:rPr>
              <w:t>$3.33B</w:t>
            </w:r>
          </w:p>
        </w:tc>
        <w:tc>
          <w:tcPr>
            <w:tcW w:type="dxa" w:w="1234"/>
          </w:tcPr>
          <w:p>
            <w:r>
              <w:rPr>
                <w:rFonts w:ascii="Calibri" w:hAnsi="Calibri"/>
                <w:sz w:val="22"/>
              </w:rPr>
              <w:t>$3.45B</w:t>
            </w:r>
          </w:p>
        </w:tc>
        <w:tc>
          <w:tcPr>
            <w:tcW w:type="dxa" w:w="1234"/>
          </w:tcPr>
          <w:p>
            <w:r>
              <w:rPr>
                <w:rFonts w:ascii="Calibri" w:hAnsi="Calibri"/>
                <w:sz w:val="22"/>
              </w:rPr>
              <w:t>+3.6% YoY</w:t>
            </w:r>
          </w:p>
        </w:tc>
        <w:tc>
          <w:tcPr>
            <w:tcW w:type="dxa" w:w="1234"/>
          </w:tcPr>
          <w:p>
            <w:r>
              <w:rPr>
                <w:rFonts w:ascii="Calibri" w:hAnsi="Calibri"/>
                <w:sz w:val="22"/>
              </w:rPr>
              <w:t>No specific revenue guidance provided</w:t>
            </w:r>
          </w:p>
        </w:tc>
        <w:tc>
          <w:tcPr>
            <w:tcW w:type="dxa" w:w="1234"/>
          </w:tcPr>
          <w:p>
            <w:r>
              <w:rPr>
                <w:rFonts w:ascii="Calibri" w:hAnsi="Calibri"/>
                <w:sz w:val="22"/>
              </w:rPr>
              <w:t>N/A — no revenue guidance midpoint</w:t>
            </w:r>
          </w:p>
        </w:tc>
      </w:tr>
      <w:tr>
        <w:tc>
          <w:tcPr>
            <w:tcW w:type="dxa" w:w="1234"/>
          </w:tcPr>
          <w:p>
            <w:r>
              <w:rPr>
                <w:rFonts w:ascii="Calibri" w:hAnsi="Calibri"/>
                <w:sz w:val="22"/>
              </w:rPr>
              <w:t>Total Revenue — Utilities</w:t>
            </w:r>
          </w:p>
        </w:tc>
        <w:tc>
          <w:tcPr>
            <w:tcW w:type="dxa" w:w="1234"/>
          </w:tcPr>
          <w:p>
            <w:r>
              <w:rPr>
                <w:rFonts w:ascii="Calibri" w:hAnsi="Calibri"/>
                <w:sz w:val="22"/>
              </w:rPr>
              <w:t>$3.17B</w:t>
            </w:r>
          </w:p>
        </w:tc>
        <w:tc>
          <w:tcPr>
            <w:tcW w:type="dxa" w:w="1234"/>
          </w:tcPr>
          <w:p>
            <w:r>
              <w:rPr>
                <w:rFonts w:ascii="Calibri" w:hAnsi="Calibri"/>
                <w:sz w:val="22"/>
              </w:rPr>
              <w:t>$3.32B</w:t>
            </w:r>
          </w:p>
        </w:tc>
        <w:tc>
          <w:tcPr>
            <w:tcW w:type="dxa" w:w="1234"/>
          </w:tcPr>
          <w:p>
            <w:r>
              <w:rPr>
                <w:rFonts w:ascii="Calibri" w:hAnsi="Calibri"/>
                <w:sz w:val="22"/>
              </w:rPr>
              <w:t>$3.52B</w:t>
            </w:r>
          </w:p>
        </w:tc>
        <w:tc>
          <w:tcPr>
            <w:tcW w:type="dxa" w:w="1234"/>
          </w:tcPr>
          <w:p>
            <w:r>
              <w:rPr>
                <w:rFonts w:ascii="Calibri" w:hAnsi="Calibri"/>
                <w:sz w:val="22"/>
              </w:rPr>
              <w:t>+6.0% YoY</w:t>
            </w:r>
          </w:p>
        </w:tc>
        <w:tc>
          <w:tcPr>
            <w:tcW w:type="dxa" w:w="1234"/>
          </w:tcPr>
          <w:p>
            <w:r>
              <w:rPr>
                <w:rFonts w:ascii="Calibri" w:hAnsi="Calibri"/>
                <w:sz w:val="22"/>
              </w:rPr>
              <w:t>~8.5% retail sales CAGR through 2029 (company guidance)</w:t>
            </w:r>
          </w:p>
        </w:tc>
        <w:tc>
          <w:tcPr>
            <w:tcW w:type="dxa" w:w="1234"/>
          </w:tcPr>
          <w:p>
            <w:r>
              <w:rPr>
                <w:rFonts w:ascii="Calibri" w:hAnsi="Calibri"/>
                <w:sz w:val="22"/>
              </w:rPr>
              <w:t>N/A — no quarterly utility revenue guidance midpoint</w:t>
            </w:r>
          </w:p>
        </w:tc>
      </w:tr>
      <w:tr>
        <w:tc>
          <w:tcPr>
            <w:tcW w:type="dxa" w:w="1234"/>
          </w:tcPr>
          <w:p>
            <w:r>
              <w:rPr>
                <w:rFonts w:ascii="Calibri" w:hAnsi="Calibri"/>
                <w:sz w:val="22"/>
              </w:rPr>
              <w:t>Capital Additions</w:t>
            </w:r>
          </w:p>
        </w:tc>
        <w:tc>
          <w:tcPr>
            <w:tcW w:type="dxa" w:w="1234"/>
          </w:tcPr>
          <w:p>
            <w:r>
              <w:rPr>
                <w:rFonts w:ascii="Calibri" w:hAnsi="Calibri"/>
                <w:sz w:val="22"/>
              </w:rPr>
              <w:t>$2.25B</w:t>
            </w:r>
          </w:p>
        </w:tc>
        <w:tc>
          <w:tcPr>
            <w:tcW w:type="dxa" w:w="1234"/>
          </w:tcPr>
          <w:p>
            <w:r>
              <w:rPr>
                <w:rFonts w:ascii="Calibri" w:hAnsi="Calibri"/>
                <w:sz w:val="22"/>
              </w:rPr>
              <w:t>$2.01B</w:t>
            </w:r>
          </w:p>
        </w:tc>
        <w:tc>
          <w:tcPr>
            <w:tcW w:type="dxa" w:w="1234"/>
          </w:tcPr>
          <w:p>
            <w:r>
              <w:rPr>
                <w:rFonts w:ascii="Calibri" w:hAnsi="Calibri"/>
                <w:sz w:val="22"/>
              </w:rPr>
              <w:t>$3.29B</w:t>
            </w:r>
          </w:p>
        </w:tc>
        <w:tc>
          <w:tcPr>
            <w:tcW w:type="dxa" w:w="1234"/>
          </w:tcPr>
          <w:p>
            <w:r>
              <w:rPr>
                <w:rFonts w:ascii="Calibri" w:hAnsi="Calibri"/>
                <w:sz w:val="22"/>
              </w:rPr>
              <w:t>+63.8% YoY</w:t>
            </w:r>
          </w:p>
        </w:tc>
        <w:tc>
          <w:tcPr>
            <w:tcW w:type="dxa" w:w="1234"/>
          </w:tcPr>
          <w:p>
            <w:r>
              <w:rPr>
                <w:rFonts w:ascii="Calibri" w:hAnsi="Calibri"/>
                <w:sz w:val="22"/>
              </w:rPr>
              <w:t>$57B 4-year capital plan (affirmed Q1 2026); $67B 5-year plan (Investor Day Jun 9)</w:t>
            </w:r>
          </w:p>
        </w:tc>
        <w:tc>
          <w:tcPr>
            <w:tcW w:type="dxa" w:w="1234"/>
          </w:tcPr>
          <w:p>
            <w:r>
              <w:rPr>
                <w:rFonts w:ascii="Calibri" w:hAnsi="Calibri"/>
                <w:sz w:val="22"/>
              </w:rPr>
              <w:t>N/A — no quarterly CapEx guidance midpoint</w:t>
            </w:r>
          </w:p>
        </w:tc>
      </w:tr>
    </w:tbl>
    <w:p>
      <w:r>
        <w:rPr>
          <w:rFonts w:ascii="Calibri" w:hAnsi="Calibri"/>
          <w:i/>
          <w:color w:val="525866"/>
          <w:sz w:val="22"/>
        </w:rPr>
        <w:t>Source: Visible Alpha Consensus and Actuals Data. All consensus figures as of July 28, 2026. Q1 2026 actuals from Entergy Q1 2026 Earnings Release (April 29, 2026). Q2 2025 actuals from Visible Alpha.</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Adjusted EPS (excl. one-time charges)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$0.96</w:t>
            </w:r>
          </w:p>
        </w:tc>
        <w:tc>
          <w:tcPr>
            <w:tcW w:type="dxa" w:w="1728"/>
          </w:tcPr>
          <w:p>
            <w:r>
              <w:rPr>
                <w:rFonts w:ascii="Calibri" w:hAnsi="Calibri"/>
                <w:sz w:val="22"/>
              </w:rPr>
              <w:t>$0.86</w:t>
            </w:r>
          </w:p>
        </w:tc>
        <w:tc>
          <w:tcPr>
            <w:tcW w:type="dxa" w:w="1728"/>
          </w:tcPr>
          <w:p>
            <w:r>
              <w:rPr>
                <w:rFonts w:ascii="Calibri" w:hAnsi="Calibri"/>
                <w:b/>
                <w:color w:val="30A46C"/>
                <w:sz w:val="22"/>
              </w:rPr>
              <w:t>+11.1%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$1.50</w:t>
            </w:r>
          </w:p>
        </w:tc>
        <w:tc>
          <w:tcPr>
            <w:tcW w:type="dxa" w:w="1728"/>
          </w:tcPr>
          <w:p>
            <w:r>
              <w:rPr>
                <w:rFonts w:ascii="Calibri" w:hAnsi="Calibri"/>
                <w:sz w:val="22"/>
              </w:rPr>
              <w:t>$1.53</w:t>
            </w:r>
          </w:p>
        </w:tc>
        <w:tc>
          <w:tcPr>
            <w:tcW w:type="dxa" w:w="1728"/>
          </w:tcPr>
          <w:p>
            <w:r>
              <w:rPr>
                <w:rFonts w:ascii="Calibri" w:hAnsi="Calibri"/>
                <w:b/>
                <w:color w:val="E5484D"/>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$0.66</w:t>
            </w:r>
          </w:p>
        </w:tc>
        <w:tc>
          <w:tcPr>
            <w:tcW w:type="dxa" w:w="1728"/>
          </w:tcPr>
          <w:p>
            <w:r>
              <w:rPr>
                <w:rFonts w:ascii="Calibri" w:hAnsi="Calibri"/>
                <w:sz w:val="22"/>
              </w:rPr>
              <w:t>$0.65</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$0.82</w:t>
            </w:r>
          </w:p>
        </w:tc>
        <w:tc>
          <w:tcPr>
            <w:tcW w:type="dxa" w:w="1728"/>
          </w:tcPr>
          <w:p>
            <w:r>
              <w:rPr>
                <w:rFonts w:ascii="Calibri" w:hAnsi="Calibri"/>
                <w:sz w:val="22"/>
              </w:rPr>
              <w:t>$0.68</w:t>
            </w:r>
          </w:p>
        </w:tc>
        <w:tc>
          <w:tcPr>
            <w:tcW w:type="dxa" w:w="1728"/>
          </w:tcPr>
          <w:p>
            <w:r>
              <w:rPr>
                <w:rFonts w:ascii="Calibri" w:hAnsi="Calibri"/>
                <w:b/>
                <w:color w:val="30A46C"/>
                <w:sz w:val="22"/>
              </w:rPr>
              <w:t>+20.7%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$1.05</w:t>
            </w:r>
          </w:p>
        </w:tc>
        <w:tc>
          <w:tcPr>
            <w:tcW w:type="dxa" w:w="1728"/>
          </w:tcPr>
          <w:p>
            <w:r>
              <w:rPr>
                <w:rFonts w:ascii="Calibri" w:hAnsi="Calibri"/>
                <w:sz w:val="22"/>
              </w:rPr>
              <w:t>$0.88</w:t>
            </w:r>
          </w:p>
        </w:tc>
        <w:tc>
          <w:tcPr>
            <w:tcW w:type="dxa" w:w="1728"/>
          </w:tcPr>
          <w:p>
            <w:r>
              <w:rPr>
                <w:rFonts w:ascii="Calibri" w:hAnsi="Calibri"/>
                <w:b/>
                <w:color w:val="30A46C"/>
                <w:sz w:val="22"/>
              </w:rPr>
              <w:t>+19.0%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$1.53</w:t>
            </w:r>
          </w:p>
        </w:tc>
        <w:tc>
          <w:tcPr>
            <w:tcW w:type="dxa" w:w="1728"/>
          </w:tcPr>
          <w:p>
            <w:r>
              <w:rPr>
                <w:rFonts w:ascii="Calibri" w:hAnsi="Calibri"/>
                <w:sz w:val="22"/>
              </w:rPr>
              <w:t>$1.44</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$0.51</w:t>
            </w:r>
          </w:p>
        </w:tc>
        <w:tc>
          <w:tcPr>
            <w:tcW w:type="dxa" w:w="1728"/>
          </w:tcPr>
          <w:p>
            <w:r>
              <w:rPr>
                <w:rFonts w:ascii="Calibri" w:hAnsi="Calibri"/>
                <w:sz w:val="22"/>
              </w:rPr>
              <w:t>$0.57</w:t>
            </w:r>
          </w:p>
        </w:tc>
        <w:tc>
          <w:tcPr>
            <w:tcW w:type="dxa" w:w="1728"/>
          </w:tcPr>
          <w:p>
            <w:r>
              <w:rPr>
                <w:rFonts w:ascii="Calibri" w:hAnsi="Calibri"/>
                <w:b/>
                <w:color w:val="E5484D"/>
                <w:sz w:val="22"/>
              </w:rPr>
              <w:t>−10.4%</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$0.86</w:t>
            </w:r>
          </w:p>
        </w:tc>
        <w:tc>
          <w:tcPr>
            <w:tcW w:type="dxa" w:w="1728"/>
          </w:tcPr>
          <w:p>
            <w:r>
              <w:rPr>
                <w:rFonts w:ascii="Calibri" w:hAnsi="Calibri"/>
                <w:sz w:val="22"/>
              </w:rPr>
              <w:t>$0.87</w:t>
            </w:r>
          </w:p>
        </w:tc>
        <w:tc>
          <w:tcPr>
            <w:tcW w:type="dxa" w:w="1728"/>
          </w:tcPr>
          <w:p>
            <w:r>
              <w:rPr>
                <w:rFonts w:ascii="Calibri" w:hAnsi="Calibri"/>
                <w:b/>
                <w:color w:val="E5484D"/>
                <w:sz w:val="22"/>
              </w:rPr>
              <w:t>−1.1%</w:t>
            </w:r>
          </w:p>
        </w:tc>
        <w:tc>
          <w:tcPr>
            <w:tcW w:type="dxa" w:w="1728"/>
          </w:tcPr>
          <w:p>
            <w:r>
              <w:rPr>
                <w:rFonts w:ascii="Calibri" w:hAnsi="Calibri"/>
                <w:b/>
                <w:color w:val="E5484D"/>
                <w:sz w:val="22"/>
              </w:rPr>
              <w:t>Slight Miss</w:t>
            </w:r>
          </w:p>
        </w:tc>
      </w:tr>
    </w:tbl>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shifted meaningfully more bullish since Q1 earnings — the June 9 Investor Day raised the 5-year capital plan to $67B (from $57B 4-year), extended the &gt;8% EPS CAGR through at least 2035, and confirmed ~60% of equity needs are already sourced; the only near-term caution is the explicitly flagged Q2 O&amp;M headwind of ~$0.15/share.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$4.25–$4.45 (midpoint $4.35)</w:t>
            </w:r>
          </w:p>
        </w:tc>
        <w:tc>
          <w:tcPr>
            <w:tcW w:type="dxa" w:w="1728"/>
          </w:tcPr>
          <w:p>
            <w:r>
              <w:rPr>
                <w:rFonts w:ascii="Calibri" w:hAnsi="Calibri"/>
                <w:sz w:val="22"/>
              </w:rPr>
              <w:t>Unchanged</w:t>
            </w:r>
          </w:p>
        </w:tc>
        <w:tc>
          <w:tcPr>
            <w:tcW w:type="dxa" w:w="1728"/>
          </w:tcPr>
          <w:p>
            <w:r>
              <w:rPr>
                <w:rFonts w:ascii="Calibri" w:hAnsi="Calibri"/>
                <w:sz w:val="22"/>
              </w:rPr>
              <w:t>$4.42</w:t>
            </w:r>
          </w:p>
        </w:tc>
        <w:tc>
          <w:tcPr>
            <w:tcW w:type="dxa" w:w="1728"/>
          </w:tcPr>
          <w:p>
            <w:r>
              <w:rPr>
                <w:rFonts w:ascii="Calibri" w:hAnsi="Calibri"/>
                <w:sz w:val="22"/>
              </w:rPr>
              <w:t>Affirmed at Q1 earnings; consensus sits near top of range, reflecting confidence in delivery</w:t>
            </w:r>
          </w:p>
        </w:tc>
      </w:tr>
      <w:tr>
        <w:tc>
          <w:tcPr>
            <w:tcW w:type="dxa" w:w="1728"/>
          </w:tcPr>
          <w:p>
            <w:r>
              <w:rPr>
                <w:rFonts w:ascii="Calibri" w:hAnsi="Calibri"/>
                <w:sz w:val="22"/>
              </w:rPr>
              <w:t>FY 2027 Adjusted EPS Outlook</w:t>
            </w:r>
          </w:p>
        </w:tc>
        <w:tc>
          <w:tcPr>
            <w:tcW w:type="dxa" w:w="1728"/>
          </w:tcPr>
          <w:p>
            <w:r>
              <w:rPr>
                <w:rFonts w:ascii="Calibri" w:hAnsi="Calibri"/>
                <w:sz w:val="22"/>
              </w:rPr>
              <w:t>~$0.20 higher than prior outlook (driven by Meta agreement)</w:t>
            </w:r>
          </w:p>
        </w:tc>
        <w:tc>
          <w:tcPr>
            <w:tcW w:type="dxa" w:w="1728"/>
          </w:tcPr>
          <w:p>
            <w:r>
              <w:rPr>
                <w:rFonts w:ascii="Calibri" w:hAnsi="Calibri"/>
                <w:sz w:val="22"/>
              </w:rPr>
              <w:t>↑ Investor Day (Jun 9): 5-year plan doubled to $67B; &gt;8% EPS CAGR extended through at least 2035</w:t>
            </w:r>
          </w:p>
        </w:tc>
        <w:tc>
          <w:tcPr>
            <w:tcW w:type="dxa" w:w="1728"/>
          </w:tcPr>
          <w:p>
            <w:r>
              <w:rPr>
                <w:rFonts w:ascii="Calibri" w:hAnsi="Calibri"/>
                <w:sz w:val="22"/>
              </w:rPr>
              <w:t>$5.15</w:t>
            </w:r>
          </w:p>
        </w:tc>
        <w:tc>
          <w:tcPr>
            <w:tcW w:type="dxa" w:w="1728"/>
          </w:tcPr>
          <w:p>
            <w:r>
              <w:rPr>
                <w:rFonts w:ascii="Calibri" w:hAnsi="Calibri"/>
                <w:sz w:val="22"/>
              </w:rPr>
              <w:t>↑ Raised at Investor Day Jun 9, 2026; more confident on long-term growth runway</w:t>
            </w:r>
          </w:p>
        </w:tc>
      </w:tr>
      <w:tr>
        <w:tc>
          <w:tcPr>
            <w:tcW w:type="dxa" w:w="1728"/>
          </w:tcPr>
          <w:p>
            <w:r>
              <w:rPr>
                <w:rFonts w:ascii="Calibri" w:hAnsi="Calibri"/>
                <w:sz w:val="22"/>
              </w:rPr>
              <w:t>FY 2029 Adjusted EPS Outlook</w:t>
            </w:r>
          </w:p>
        </w:tc>
        <w:tc>
          <w:tcPr>
            <w:tcW w:type="dxa" w:w="1728"/>
          </w:tcPr>
          <w:p>
            <w:r>
              <w:rPr>
                <w:rFonts w:ascii="Calibri" w:hAnsi="Calibri"/>
                <w:sz w:val="22"/>
              </w:rPr>
              <w:t>$6.40 (raised $0.50 vs. prior outlook)</w:t>
            </w:r>
          </w:p>
        </w:tc>
        <w:tc>
          <w:tcPr>
            <w:tcW w:type="dxa" w:w="1728"/>
          </w:tcPr>
          <w:p>
            <w:r>
              <w:rPr>
                <w:rFonts w:ascii="Calibri" w:hAnsi="Calibri"/>
                <w:sz w:val="22"/>
              </w:rPr>
              <w:t>↑ Investor Day (Jun 9): 2030 YoY growth expected at ~12%, same as 2029</w:t>
            </w:r>
          </w:p>
        </w:tc>
        <w:tc>
          <w:tcPr>
            <w:tcW w:type="dxa" w:w="1728"/>
          </w:tcPr>
          <w:p>
            <w:r>
              <w:rPr>
                <w:rFonts w:ascii="Calibri" w:hAnsi="Calibri"/>
                <w:sz w:val="22"/>
              </w:rPr>
              <w:t>N/A — not tracked in VA</w:t>
            </w:r>
          </w:p>
        </w:tc>
        <w:tc>
          <w:tcPr>
            <w:tcW w:type="dxa" w:w="1728"/>
          </w:tcPr>
          <w:p>
            <w:r>
              <w:rPr>
                <w:rFonts w:ascii="Calibri" w:hAnsi="Calibri"/>
                <w:sz w:val="22"/>
              </w:rPr>
              <w:t>↑ Raised at Investor Day; 2030 growth preview extended visibility further</w:t>
            </w:r>
          </w:p>
        </w:tc>
      </w:tr>
      <w:tr>
        <w:tc>
          <w:tcPr>
            <w:tcW w:type="dxa" w:w="1728"/>
          </w:tcPr>
          <w:p>
            <w:r>
              <w:rPr>
                <w:rFonts w:ascii="Calibri" w:hAnsi="Calibri"/>
                <w:sz w:val="22"/>
              </w:rPr>
              <w:t>4-Year Capital Plan</w:t>
            </w:r>
          </w:p>
        </w:tc>
        <w:tc>
          <w:tcPr>
            <w:tcW w:type="dxa" w:w="1728"/>
          </w:tcPr>
          <w:p>
            <w:r>
              <w:rPr>
                <w:rFonts w:ascii="Calibri" w:hAnsi="Calibri"/>
                <w:sz w:val="22"/>
              </w:rPr>
              <w:t>$57B (raised $14B at Q1 earnings, driven by Meta North Louisiana agreement)</w:t>
            </w:r>
          </w:p>
        </w:tc>
        <w:tc>
          <w:tcPr>
            <w:tcW w:type="dxa" w:w="1728"/>
          </w:tcPr>
          <w:p>
            <w:r>
              <w:rPr>
                <w:rFonts w:ascii="Calibri" w:hAnsi="Calibri"/>
                <w:sz w:val="22"/>
              </w:rPr>
              <w:t>↑ Investor Day (Jun 9): 5-year plan now $67B ($13B/year avg); rate base ~$100B by 2030</w:t>
            </w:r>
          </w:p>
        </w:tc>
        <w:tc>
          <w:tcPr>
            <w:tcW w:type="dxa" w:w="1728"/>
          </w:tcPr>
          <w:p>
            <w:r>
              <w:rPr>
                <w:rFonts w:ascii="Calibri" w:hAnsi="Calibri"/>
                <w:sz w:val="22"/>
              </w:rPr>
              <w:t>$12.4B FY2026 CapEx consensus</w:t>
            </w:r>
          </w:p>
        </w:tc>
        <w:tc>
          <w:tcPr>
            <w:tcW w:type="dxa" w:w="1728"/>
          </w:tcPr>
          <w:p>
            <w:r>
              <w:rPr>
                <w:rFonts w:ascii="Calibri" w:hAnsi="Calibri"/>
                <w:sz w:val="22"/>
              </w:rPr>
              <w:t>↑ Raised at Investor Day Jun 9; highest rate base growth in industry at 16% since 2025</w:t>
            </w:r>
          </w:p>
        </w:tc>
      </w:tr>
      <w:tr>
        <w:tc>
          <w:tcPr>
            <w:tcW w:type="dxa" w:w="1728"/>
          </w:tcPr>
          <w:p>
            <w:r>
              <w:rPr>
                <w:rFonts w:ascii="Calibri" w:hAnsi="Calibri"/>
                <w:sz w:val="22"/>
              </w:rPr>
              <w:t>Retail Sales Growth CAGR (through 2029)</w:t>
            </w:r>
          </w:p>
        </w:tc>
        <w:tc>
          <w:tcPr>
            <w:tcW w:type="dxa" w:w="1728"/>
          </w:tcPr>
          <w:p>
            <w:r>
              <w:rPr>
                <w:rFonts w:ascii="Calibri" w:hAnsi="Calibri"/>
                <w:sz w:val="22"/>
              </w:rPr>
              <w:t>~8.5% CAGR (raised from prior ~8%); 16% industrial growth</w:t>
            </w:r>
          </w:p>
        </w:tc>
        <w:tc>
          <w:tcPr>
            <w:tcW w:type="dxa" w:w="1728"/>
          </w:tcPr>
          <w:p>
            <w:r>
              <w:rPr>
                <w:rFonts w:ascii="Calibri" w:hAnsi="Calibri"/>
                <w:sz w:val="22"/>
              </w:rPr>
              <w:t>↑ Investor Day (Jun 9): 9% retail sales growth, described as unmatched in industry</w:t>
            </w:r>
          </w:p>
        </w:tc>
        <w:tc>
          <w:tcPr>
            <w:tcW w:type="dxa" w:w="1728"/>
          </w:tcPr>
          <w:p>
            <w:r>
              <w:rPr>
                <w:rFonts w:ascii="Calibri" w:hAnsi="Calibri"/>
                <w:sz w:val="22"/>
              </w:rPr>
              <w:t>N/A — not tracked in VA</w:t>
            </w:r>
          </w:p>
        </w:tc>
        <w:tc>
          <w:tcPr>
            <w:tcW w:type="dxa" w:w="1728"/>
          </w:tcPr>
          <w:p>
            <w:r>
              <w:rPr>
                <w:rFonts w:ascii="Calibri" w:hAnsi="Calibri"/>
                <w:sz w:val="22"/>
              </w:rPr>
              <w:t>↑ Raised at Investor Day; sales growth doubled vs. 2 years ago</w:t>
            </w:r>
          </w:p>
        </w:tc>
      </w:tr>
      <w:tr>
        <w:tc>
          <w:tcPr>
            <w:tcW w:type="dxa" w:w="1728"/>
          </w:tcPr>
          <w:p>
            <w:r>
              <w:rPr>
                <w:rFonts w:ascii="Calibri" w:hAnsi="Calibri"/>
                <w:sz w:val="22"/>
              </w:rPr>
              <w:t>Data Center Pipeline (outside plan)</w:t>
            </w:r>
          </w:p>
        </w:tc>
        <w:tc>
          <w:tcPr>
            <w:tcW w:type="dxa" w:w="1728"/>
          </w:tcPr>
          <w:p>
            <w:r>
              <w:rPr>
                <w:rFonts w:ascii="Calibri" w:hAnsi="Calibri"/>
                <w:sz w:val="22"/>
              </w:rPr>
              <w:t>7–12 GW (after Meta agreement moved through pipeline)</w:t>
            </w:r>
          </w:p>
        </w:tc>
        <w:tc>
          <w:tcPr>
            <w:tcW w:type="dxa" w:w="1728"/>
          </w:tcPr>
          <w:p>
            <w:r>
              <w:rPr>
                <w:rFonts w:ascii="Calibri" w:hAnsi="Calibri"/>
                <w:sz w:val="22"/>
              </w:rPr>
              <w:t>Investor Day (Jun 9): ESA backlog nearly doubled; 7–12 GW data centers + 3–5 GW other industries in 24-month outlook</w:t>
            </w:r>
          </w:p>
        </w:tc>
        <w:tc>
          <w:tcPr>
            <w:tcW w:type="dxa" w:w="1728"/>
          </w:tcPr>
          <w:p>
            <w:r>
              <w:rPr>
                <w:rFonts w:ascii="Calibri" w:hAnsi="Calibri"/>
                <w:sz w:val="22"/>
              </w:rPr>
              <w:t>N/A — not a VA-tracked metric</w:t>
            </w:r>
          </w:p>
        </w:tc>
        <w:tc>
          <w:tcPr>
            <w:tcW w:type="dxa" w:w="1728"/>
          </w:tcPr>
          <w:p>
            <w:r>
              <w:rPr>
                <w:rFonts w:ascii="Calibri" w:hAnsi="Calibri"/>
                <w:sz w:val="22"/>
              </w:rPr>
              <w:t>Unchanged in size; quality improving as more ESAs signed YTD</w:t>
            </w:r>
          </w:p>
        </w:tc>
      </w:tr>
      <w:tr>
        <w:tc>
          <w:tcPr>
            <w:tcW w:type="dxa" w:w="1728"/>
          </w:tcPr>
          <w:p>
            <w:r>
              <w:rPr>
                <w:rFonts w:ascii="Calibri" w:hAnsi="Calibri"/>
                <w:sz w:val="22"/>
              </w:rPr>
              <w:t>Equity Needs / Financing</w:t>
            </w:r>
          </w:p>
        </w:tc>
        <w:tc>
          <w:tcPr>
            <w:tcW w:type="dxa" w:w="1728"/>
          </w:tcPr>
          <w:p>
            <w:r>
              <w:rPr>
                <w:rFonts w:ascii="Calibri" w:hAnsi="Calibri"/>
                <w:sz w:val="22"/>
              </w:rPr>
              <w:t>$6.6B equity for 4-year plan; ~30% contracted ($1.9B); $4.7B to source from late 2027–2029</w:t>
            </w:r>
          </w:p>
        </w:tc>
        <w:tc>
          <w:tcPr>
            <w:tcW w:type="dxa" w:w="1728"/>
          </w:tcPr>
          <w:p>
            <w:r>
              <w:rPr>
                <w:rFonts w:ascii="Calibri" w:hAnsi="Calibri"/>
                <w:sz w:val="22"/>
              </w:rPr>
              <w:t>↑ May 7: New 19.2M share forward sale agreements; Jun 22: $672M raised via equity forward settlements; Investor Day: ~60% of 5-year equity needs sourced</w:t>
            </w:r>
          </w:p>
        </w:tc>
        <w:tc>
          <w:tcPr>
            <w:tcW w:type="dxa" w:w="1728"/>
          </w:tcPr>
          <w:p>
            <w:r>
              <w:rPr>
                <w:rFonts w:ascii="Calibri" w:hAnsi="Calibri"/>
                <w:sz w:val="22"/>
              </w:rPr>
              <w:t>N/A — not a VA-tracked metric</w:t>
            </w:r>
          </w:p>
        </w:tc>
        <w:tc>
          <w:tcPr>
            <w:tcW w:type="dxa" w:w="1728"/>
          </w:tcPr>
          <w:p>
            <w:r>
              <w:rPr>
                <w:rFonts w:ascii="Calibri" w:hAnsi="Calibri"/>
                <w:sz w:val="22"/>
              </w:rPr>
              <w:t>↑ Equity execution ahead of schedule; remaining $7B 5-year need not required until 2028</w:t>
            </w:r>
          </w:p>
        </w:tc>
      </w:tr>
      <w:tr>
        <w:tc>
          <w:tcPr>
            <w:tcW w:type="dxa" w:w="1728"/>
          </w:tcPr>
          <w:p>
            <w:r>
              <w:rPr>
                <w:rFonts w:ascii="Calibri" w:hAnsi="Calibri"/>
                <w:sz w:val="22"/>
              </w:rPr>
              <w:t>Q2 2026 O&amp;M Expense</w:t>
            </w:r>
          </w:p>
        </w:tc>
        <w:tc>
          <w:tcPr>
            <w:tcW w:type="dxa" w:w="1728"/>
          </w:tcPr>
          <w:p>
            <w:r>
              <w:rPr>
                <w:rFonts w:ascii="Calibri" w:hAnsi="Calibri"/>
                <w:sz w:val="22"/>
              </w:rPr>
              <w:t>~$0.15/share higher than Q2 2025 (higher vegetation spending + nuclear maintenance timing)</w:t>
            </w:r>
          </w:p>
        </w:tc>
        <w:tc>
          <w:tcPr>
            <w:tcW w:type="dxa" w:w="1728"/>
          </w:tcPr>
          <w:p>
            <w:r>
              <w:rPr>
                <w:rFonts w:ascii="Calibri" w:hAnsi="Calibri"/>
                <w:sz w:val="22"/>
              </w:rPr>
              <w:t>Unchanged</w:t>
            </w:r>
          </w:p>
        </w:tc>
        <w:tc>
          <w:tcPr>
            <w:tcW w:type="dxa" w:w="1728"/>
          </w:tcPr>
          <w:p>
            <w:r>
              <w:rPr>
                <w:rFonts w:ascii="Calibri" w:hAnsi="Calibri"/>
                <w:sz w:val="22"/>
              </w:rPr>
              <w:t>N/A — not a VA-tracked metric</w:t>
            </w:r>
          </w:p>
        </w:tc>
        <w:tc>
          <w:tcPr>
            <w:tcW w:type="dxa" w:w="1728"/>
          </w:tcPr>
          <w:p>
            <w:r>
              <w:rPr>
                <w:rFonts w:ascii="Calibri" w:hAnsi="Calibri"/>
                <w:sz w:val="22"/>
              </w:rPr>
              <w:t>Key near-term headwind; management flagged explicitly on Q1 call</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adjusted EPS estimates have been revised down ~8.6% since the Q1 print (from $1.12 to $1.02), consistent with management's explicit O&amp;M headwind guidance; FY2026 and FY2027 EPS estimates have moved modestly higher, suggesting the street is comfortable with the full-year trajectory even as the quarterly bar was reset — the gap between the low Q2 bar and the affirmed full-year guide represents potential cushion if H2 load growth accelerates.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4,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$1.12</w:t>
            </w:r>
          </w:p>
        </w:tc>
        <w:tc>
          <w:tcPr>
            <w:tcW w:type="dxa" w:w="1080"/>
          </w:tcPr>
          <w:p>
            <w:r>
              <w:rPr>
                <w:rFonts w:ascii="Calibri" w:hAnsi="Calibri"/>
                <w:sz w:val="22"/>
              </w:rPr>
              <w:t>$1.02</w:t>
            </w:r>
          </w:p>
        </w:tc>
        <w:tc>
          <w:tcPr>
            <w:tcW w:type="dxa" w:w="1080"/>
          </w:tcPr>
          <w:p>
            <w:r>
              <w:rPr>
                <w:rFonts w:ascii="Calibri" w:hAnsi="Calibri"/>
                <w:b/>
                <w:color w:val="E5484D"/>
                <w:sz w:val="22"/>
              </w:rPr>
              <w:t>−8.6%</w:t>
            </w:r>
          </w:p>
        </w:tc>
        <w:tc>
          <w:tcPr>
            <w:tcW w:type="dxa" w:w="1080"/>
          </w:tcPr>
          <w:p>
            <w:r>
              <w:rPr>
                <w:rFonts w:ascii="Calibri" w:hAnsi="Calibri"/>
                <w:sz w:val="22"/>
              </w:rPr>
              <w:t>No specific Q2 EPS guidance; O&amp;M ~$0.15 higher YoY flagged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 — no Q2 EPS midpoint</w:t>
            </w:r>
          </w:p>
        </w:tc>
      </w:tr>
      <w:tr>
        <w:tc>
          <w:tcPr>
            <w:tcW w:type="dxa" w:w="1080"/>
          </w:tcPr>
          <w:p>
            <w:r>
              <w:rPr>
                <w:rFonts w:ascii="Calibri" w:hAnsi="Calibri"/>
                <w:sz w:val="22"/>
              </w:rPr>
              <w:t>Adj. EPS — FY 2026</w:t>
            </w:r>
          </w:p>
        </w:tc>
        <w:tc>
          <w:tcPr>
            <w:tcW w:type="dxa" w:w="1080"/>
          </w:tcPr>
          <w:p>
            <w:r>
              <w:rPr>
                <w:rFonts w:ascii="Calibri" w:hAnsi="Calibri"/>
                <w:sz w:val="22"/>
              </w:rPr>
              <w:t>$4.39</w:t>
            </w:r>
          </w:p>
        </w:tc>
        <w:tc>
          <w:tcPr>
            <w:tcW w:type="dxa" w:w="1080"/>
          </w:tcPr>
          <w:p>
            <w:r>
              <w:rPr>
                <w:rFonts w:ascii="Calibri" w:hAnsi="Calibri"/>
                <w:sz w:val="22"/>
              </w:rPr>
              <w:t>$4.42</w:t>
            </w:r>
          </w:p>
        </w:tc>
        <w:tc>
          <w:tcPr>
            <w:tcW w:type="dxa" w:w="1080"/>
          </w:tcPr>
          <w:p>
            <w:r>
              <w:rPr>
                <w:rFonts w:ascii="Calibri" w:hAnsi="Calibri"/>
                <w:b/>
                <w:color w:val="30A46C"/>
                <w:sz w:val="22"/>
              </w:rPr>
              <w:t>+0.8%</w:t>
            </w:r>
          </w:p>
        </w:tc>
        <w:tc>
          <w:tcPr>
            <w:tcW w:type="dxa" w:w="1080"/>
          </w:tcPr>
          <w:p>
            <w:r>
              <w:rPr>
                <w:rFonts w:ascii="Calibri" w:hAnsi="Calibri"/>
                <w:sz w:val="22"/>
              </w:rPr>
              <w:t>$4.25–$4.45 (midpoint $4.35)</w:t>
            </w:r>
          </w:p>
        </w:tc>
        <w:tc>
          <w:tcPr>
            <w:tcW w:type="dxa" w:w="1080"/>
          </w:tcPr>
          <w:p>
            <w:r>
              <w:rPr>
                <w:rFonts w:ascii="Calibri" w:hAnsi="Calibri"/>
                <w:sz w:val="22"/>
              </w:rPr>
              <w:t>Unchanged ($4.25–$4.45)</w:t>
            </w:r>
          </w:p>
        </w:tc>
        <w:tc>
          <w:tcPr>
            <w:tcW w:type="dxa" w:w="1080"/>
          </w:tcPr>
          <w:p>
            <w:r>
              <w:rPr>
                <w:rFonts w:ascii="Calibri" w:hAnsi="Calibri"/>
                <w:sz w:val="22"/>
              </w:rPr>
              <w:t>Unchanged</w:t>
            </w:r>
          </w:p>
        </w:tc>
        <w:tc>
          <w:tcPr>
            <w:tcW w:type="dxa" w:w="1080"/>
          </w:tcPr>
          <w:p>
            <w:r>
              <w:rPr>
                <w:rFonts w:ascii="Calibri" w:hAnsi="Calibri"/>
                <w:sz w:val="22"/>
              </w:rPr>
              <w:t>+1.6% above midpoint</w:t>
            </w:r>
          </w:p>
        </w:tc>
      </w:tr>
      <w:tr>
        <w:tc>
          <w:tcPr>
            <w:tcW w:type="dxa" w:w="1080"/>
          </w:tcPr>
          <w:p>
            <w:r>
              <w:rPr>
                <w:rFonts w:ascii="Calibri" w:hAnsi="Calibri"/>
                <w:sz w:val="22"/>
              </w:rPr>
              <w:t>Adj. EPS — FY 2027</w:t>
            </w:r>
          </w:p>
        </w:tc>
        <w:tc>
          <w:tcPr>
            <w:tcW w:type="dxa" w:w="1080"/>
          </w:tcPr>
          <w:p>
            <w:r>
              <w:rPr>
                <w:rFonts w:ascii="Calibri" w:hAnsi="Calibri"/>
                <w:sz w:val="22"/>
              </w:rPr>
              <w:t>$5.10</w:t>
            </w:r>
          </w:p>
        </w:tc>
        <w:tc>
          <w:tcPr>
            <w:tcW w:type="dxa" w:w="1080"/>
          </w:tcPr>
          <w:p>
            <w:r>
              <w:rPr>
                <w:rFonts w:ascii="Calibri" w:hAnsi="Calibri"/>
                <w:sz w:val="22"/>
              </w:rPr>
              <w:t>$5.15</w:t>
            </w:r>
          </w:p>
        </w:tc>
        <w:tc>
          <w:tcPr>
            <w:tcW w:type="dxa" w:w="1080"/>
          </w:tcPr>
          <w:p>
            <w:r>
              <w:rPr>
                <w:rFonts w:ascii="Calibri" w:hAnsi="Calibri"/>
                <w:b/>
                <w:color w:val="30A46C"/>
                <w:sz w:val="22"/>
              </w:rPr>
              <w:t>+1.0%</w:t>
            </w:r>
          </w:p>
        </w:tc>
        <w:tc>
          <w:tcPr>
            <w:tcW w:type="dxa" w:w="1080"/>
          </w:tcPr>
          <w:p>
            <w:r>
              <w:rPr>
                <w:rFonts w:ascii="Calibri" w:hAnsi="Calibri"/>
                <w:sz w:val="22"/>
              </w:rPr>
              <w:t>~$0.20 higher than prior outlook (driven by Meta agreement)</w:t>
            </w:r>
          </w:p>
        </w:tc>
        <w:tc>
          <w:tcPr>
            <w:tcW w:type="dxa" w:w="1080"/>
          </w:tcPr>
          <w:p>
            <w:r>
              <w:rPr>
                <w:rFonts w:ascii="Calibri" w:hAnsi="Calibri"/>
                <w:sz w:val="22"/>
              </w:rPr>
              <w:t>↑ Investor Day Jun 9: &gt;8% CAGR through 2035 confirmed</w:t>
            </w:r>
          </w:p>
        </w:tc>
        <w:tc>
          <w:tcPr>
            <w:tcW w:type="dxa" w:w="1080"/>
          </w:tcPr>
          <w:p>
            <w:r>
              <w:rPr>
                <w:rFonts w:ascii="Calibri" w:hAnsi="Calibri"/>
                <w:sz w:val="22"/>
              </w:rPr>
              <w:t>↑ Higher</w:t>
            </w:r>
          </w:p>
        </w:tc>
        <w:tc>
          <w:tcPr>
            <w:tcW w:type="dxa" w:w="1080"/>
          </w:tcPr>
          <w:p>
            <w:r>
              <w:rPr>
                <w:rFonts w:ascii="Calibri" w:hAnsi="Calibri"/>
                <w:sz w:val="22"/>
              </w:rPr>
              <w:t>N/A — no specific FY2027 EPS guidance midpoint</w:t>
            </w:r>
          </w:p>
        </w:tc>
      </w:tr>
      <w:tr>
        <w:tc>
          <w:tcPr>
            <w:tcW w:type="dxa" w:w="1080"/>
          </w:tcPr>
          <w:p>
            <w:r>
              <w:rPr>
                <w:rFonts w:ascii="Calibri" w:hAnsi="Calibri"/>
                <w:sz w:val="22"/>
              </w:rPr>
              <w:t>Total Revenue — Q2 2026</w:t>
            </w:r>
          </w:p>
        </w:tc>
        <w:tc>
          <w:tcPr>
            <w:tcW w:type="dxa" w:w="1080"/>
          </w:tcPr>
          <w:p>
            <w:r>
              <w:rPr>
                <w:rFonts w:ascii="Calibri" w:hAnsi="Calibri"/>
                <w:sz w:val="22"/>
              </w:rPr>
              <w:t>$3.46B</w:t>
            </w:r>
          </w:p>
        </w:tc>
        <w:tc>
          <w:tcPr>
            <w:tcW w:type="dxa" w:w="1080"/>
          </w:tcPr>
          <w:p>
            <w:r>
              <w:rPr>
                <w:rFonts w:ascii="Calibri" w:hAnsi="Calibri"/>
                <w:sz w:val="22"/>
              </w:rPr>
              <w:t>$3.45B</w:t>
            </w:r>
          </w:p>
        </w:tc>
        <w:tc>
          <w:tcPr>
            <w:tcW w:type="dxa" w:w="1080"/>
          </w:tcPr>
          <w:p>
            <w:r>
              <w:rPr>
                <w:rFonts w:ascii="Calibri" w:hAnsi="Calibri"/>
                <w:sz w:val="22"/>
              </w:rPr>
              <w:t>−0.4%</w:t>
            </w:r>
          </w:p>
        </w:tc>
        <w:tc>
          <w:tcPr>
            <w:tcW w:type="dxa" w:w="1080"/>
          </w:tcPr>
          <w:p>
            <w:r>
              <w:rPr>
                <w:rFonts w:ascii="Calibri" w:hAnsi="Calibri"/>
                <w:sz w:val="22"/>
              </w:rPr>
              <w:t>No specific revenue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$13.91B</w:t>
            </w:r>
          </w:p>
        </w:tc>
        <w:tc>
          <w:tcPr>
            <w:tcW w:type="dxa" w:w="1080"/>
          </w:tcPr>
          <w:p>
            <w:r>
              <w:rPr>
                <w:rFonts w:ascii="Calibri" w:hAnsi="Calibri"/>
                <w:sz w:val="22"/>
              </w:rPr>
              <w:t>$13.98B</w:t>
            </w:r>
          </w:p>
        </w:tc>
        <w:tc>
          <w:tcPr>
            <w:tcW w:type="dxa" w:w="1080"/>
          </w:tcPr>
          <w:p>
            <w:r>
              <w:rPr>
                <w:rFonts w:ascii="Calibri" w:hAnsi="Calibri"/>
                <w:b/>
                <w:color w:val="30A46C"/>
                <w:sz w:val="22"/>
              </w:rPr>
              <w:t>+0.5%</w:t>
            </w:r>
          </w:p>
        </w:tc>
        <w:tc>
          <w:tcPr>
            <w:tcW w:type="dxa" w:w="1080"/>
          </w:tcPr>
          <w:p>
            <w:r>
              <w:rPr>
                <w:rFonts w:ascii="Calibri" w:hAnsi="Calibri"/>
                <w:sz w:val="22"/>
              </w:rPr>
              <w:t>No specific revenue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Additions — Q2 2026</w:t>
            </w:r>
          </w:p>
        </w:tc>
        <w:tc>
          <w:tcPr>
            <w:tcW w:type="dxa" w:w="1080"/>
          </w:tcPr>
          <w:p>
            <w:r>
              <w:rPr>
                <w:rFonts w:ascii="Calibri" w:hAnsi="Calibri"/>
                <w:sz w:val="22"/>
              </w:rPr>
              <w:t>$3.27B</w:t>
            </w:r>
          </w:p>
        </w:tc>
        <w:tc>
          <w:tcPr>
            <w:tcW w:type="dxa" w:w="1080"/>
          </w:tcPr>
          <w:p>
            <w:r>
              <w:rPr>
                <w:rFonts w:ascii="Calibri" w:hAnsi="Calibri"/>
                <w:sz w:val="22"/>
              </w:rPr>
              <w:t>$3.29B</w:t>
            </w:r>
          </w:p>
        </w:tc>
        <w:tc>
          <w:tcPr>
            <w:tcW w:type="dxa" w:w="1080"/>
          </w:tcPr>
          <w:p>
            <w:r>
              <w:rPr>
                <w:rFonts w:ascii="Calibri" w:hAnsi="Calibri"/>
                <w:b/>
                <w:color w:val="30A46C"/>
                <w:sz w:val="22"/>
              </w:rPr>
              <w:t>+0.8%</w:t>
            </w:r>
          </w:p>
        </w:tc>
        <w:tc>
          <w:tcPr>
            <w:tcW w:type="dxa" w:w="1080"/>
          </w:tcPr>
          <w:p>
            <w:r>
              <w:rPr>
                <w:rFonts w:ascii="Calibri" w:hAnsi="Calibri"/>
                <w:sz w:val="22"/>
              </w:rPr>
              <w:t>$57B 4-year plan (affirmed)</w:t>
            </w:r>
          </w:p>
        </w:tc>
        <w:tc>
          <w:tcPr>
            <w:tcW w:type="dxa" w:w="1080"/>
          </w:tcPr>
          <w:p>
            <w:r>
              <w:rPr>
                <w:rFonts w:ascii="Calibri" w:hAnsi="Calibri"/>
                <w:sz w:val="22"/>
              </w:rPr>
              <w:t>↑ $67B 5-year plan (Investor Day Jun 9)</w:t>
            </w:r>
          </w:p>
        </w:tc>
        <w:tc>
          <w:tcPr>
            <w:tcW w:type="dxa" w:w="1080"/>
          </w:tcPr>
          <w:p>
            <w:r>
              <w:rPr>
                <w:rFonts w:ascii="Calibri" w:hAnsi="Calibri"/>
                <w:sz w:val="22"/>
              </w:rPr>
              <w:t>↑ Higher</w:t>
            </w:r>
          </w:p>
        </w:tc>
        <w:tc>
          <w:tcPr>
            <w:tcW w:type="dxa" w:w="1080"/>
          </w:tcPr>
          <w:p>
            <w:r>
              <w:rPr>
                <w:rFonts w:ascii="Calibri" w:hAnsi="Calibri"/>
                <w:sz w:val="22"/>
              </w:rPr>
              <w:t>N/A — no quarterly CapEx guidance midpoint</w:t>
            </w:r>
          </w:p>
        </w:tc>
      </w:tr>
      <w:tr>
        <w:tc>
          <w:tcPr>
            <w:tcW w:type="dxa" w:w="1080"/>
          </w:tcPr>
          <w:p>
            <w:r>
              <w:rPr>
                <w:rFonts w:ascii="Calibri" w:hAnsi="Calibri"/>
                <w:sz w:val="22"/>
              </w:rPr>
              <w:t>Capital Additions — FY 2026</w:t>
            </w:r>
          </w:p>
        </w:tc>
        <w:tc>
          <w:tcPr>
            <w:tcW w:type="dxa" w:w="1080"/>
          </w:tcPr>
          <w:p>
            <w:r>
              <w:rPr>
                <w:rFonts w:ascii="Calibri" w:hAnsi="Calibri"/>
                <w:sz w:val="22"/>
              </w:rPr>
              <w:t>$12.08B</w:t>
            </w:r>
          </w:p>
        </w:tc>
        <w:tc>
          <w:tcPr>
            <w:tcW w:type="dxa" w:w="1080"/>
          </w:tcPr>
          <w:p>
            <w:r>
              <w:rPr>
                <w:rFonts w:ascii="Calibri" w:hAnsi="Calibri"/>
                <w:sz w:val="22"/>
              </w:rPr>
              <w:t>$12.37B</w:t>
            </w:r>
          </w:p>
        </w:tc>
        <w:tc>
          <w:tcPr>
            <w:tcW w:type="dxa" w:w="1080"/>
          </w:tcPr>
          <w:p>
            <w:r>
              <w:rPr>
                <w:rFonts w:ascii="Calibri" w:hAnsi="Calibri"/>
                <w:b/>
                <w:color w:val="30A46C"/>
                <w:sz w:val="22"/>
              </w:rPr>
              <w:t>+2.4%</w:t>
            </w:r>
          </w:p>
        </w:tc>
        <w:tc>
          <w:tcPr>
            <w:tcW w:type="dxa" w:w="1080"/>
          </w:tcPr>
          <w:p>
            <w:r>
              <w:rPr>
                <w:rFonts w:ascii="Calibri" w:hAnsi="Calibri"/>
                <w:sz w:val="22"/>
              </w:rPr>
              <w:t>$57B 4-year plan (affirmed)</w:t>
            </w:r>
          </w:p>
        </w:tc>
        <w:tc>
          <w:tcPr>
            <w:tcW w:type="dxa" w:w="1080"/>
          </w:tcPr>
          <w:p>
            <w:r>
              <w:rPr>
                <w:rFonts w:ascii="Calibri" w:hAnsi="Calibri"/>
                <w:sz w:val="22"/>
              </w:rPr>
              <w:t>↑ $67B 5-year plan (Investor Day Jun 9)</w:t>
            </w:r>
          </w:p>
        </w:tc>
        <w:tc>
          <w:tcPr>
            <w:tcW w:type="dxa" w:w="1080"/>
          </w:tcPr>
          <w:p>
            <w:r>
              <w:rPr>
                <w:rFonts w:ascii="Calibri" w:hAnsi="Calibri"/>
                <w:sz w:val="22"/>
              </w:rPr>
              <w:t>↑ Higher</w:t>
            </w:r>
          </w:p>
        </w:tc>
        <w:tc>
          <w:tcPr>
            <w:tcW w:type="dxa" w:w="1080"/>
          </w:tcPr>
          <w:p>
            <w:r>
              <w:rPr>
                <w:rFonts w:ascii="Calibri" w:hAnsi="Calibri"/>
                <w:sz w:val="22"/>
              </w:rPr>
              <w:t>N/A — no quarterly CapEx guidance midpoint</w:t>
            </w:r>
          </w:p>
        </w:tc>
      </w:tr>
    </w:tbl>
    <w:p>
      <w:r>
        <w:rPr>
          <w:rFonts w:ascii="Calibri" w:hAnsi="Calibri"/>
          <w:i/>
          <w:color w:val="525866"/>
          <w:sz w:val="22"/>
        </w:rPr>
        <w:t>The Q2 EPS estimate reset (−8.6%) is entirely consistent with management's own O&amp;M guidance and does not signal fundamental deterioration; FY2026 and FY2027 estimates have actually drifted slightly higher since the Q1 print, confirming the street's confidence in the full-year trajectory. CapEx estimates are also moving up, reflecting the Investor Day capital plan expansion.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ETR has underperformed both XLU (−0.4%) and the S&amp;P 500 (+4.1%) since the Q1 2026 earnings date (April 29), returning −2.1% on an indexed basis — the underperformance is primarily dilution-driven (May equity forward issuance of 19.2M shares + June $672M settlement) rather than fundamental, and the stock has recovered from its early-June trough (~$105) back toward the $112–$116 range as the Investor Day re-anchored the long-term growth narrative.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ETR vs. XLU vs. S&amp;P 500 (SPY) — Indexed to 100 at Q1 2026 Earnings Date (April 29, 2026). Source: Stock Price Data.</w:t>
      </w:r>
    </w:p>
    <w:p>
      <w:r>
        <w:rPr>
          <w:rFonts w:ascii="Calibri" w:hAnsi="Calibri"/>
          <w:b/>
          <w:color w:val="525866"/>
          <w:sz w:val="22"/>
        </w:rPr>
        <w:t xml:space="preserve">Sector ETF used: </w:t>
      </w:r>
      <w:r>
        <w:rPr>
          <w:rFonts w:ascii="Calibri" w:hAnsi="Calibri"/>
          <w:color w:val="525866"/>
          <w:sz w:val="22"/>
        </w:rPr>
        <w:t>XLU (Utilities Select Sector SPDR Fund) — appropriate for ETR's regulated electric utility sub-sector.</w:t>
      </w:r>
    </w:p>
    <w:p>
      <w:pPr>
        <w:pStyle w:val="ListBullet"/>
        <w:ind w:left="360" w:hanging="360"/>
      </w:pPr>
      <w:r>
        <w:rPr>
          <w:rFonts w:ascii="Calibri" w:hAnsi="Calibri"/>
          <w:b/>
          <w:color w:val="525866"/>
          <w:sz w:val="22"/>
        </w:rPr>
        <w:t xml:space="preserve">April 29 (Q1 earnings): </w:t>
      </w:r>
      <w:r>
        <w:rPr>
          <w:rFonts w:ascii="Calibri" w:hAnsi="Calibri"/>
          <w:color w:val="525866"/>
          <w:sz w:val="22"/>
        </w:rPr>
        <w:t>Stock opened at $113.16 (pre-earnings close) and closed at $114.67 on earnings day — roughly flat to modestly positive despite the slight EPS miss, as the Meta agreement and capital plan expansion dominated the narrative.</w:t>
      </w:r>
    </w:p>
    <w:p>
      <w:pPr>
        <w:pStyle w:val="ListBullet"/>
        <w:ind w:left="360" w:hanging="360"/>
      </w:pPr>
      <w:r>
        <w:rPr>
          <w:rFonts w:ascii="Calibri" w:hAnsi="Calibri"/>
          <w:b/>
          <w:color w:val="525866"/>
          <w:sz w:val="22"/>
        </w:rPr>
        <w:t xml:space="preserve">May 6–8 (equity issuance): </w:t>
      </w:r>
      <w:r>
        <w:rPr>
          <w:rFonts w:ascii="Calibri" w:hAnsi="Calibri"/>
          <w:color w:val="525866"/>
          <w:sz w:val="22"/>
        </w:rPr>
        <w:t>Stock dropped from ~$117 to ~$112 following the May 7 announcement of 19.2M new share forward sale agreements — dilution overhang weighed on the stock.</w:t>
      </w:r>
    </w:p>
    <w:p>
      <w:pPr>
        <w:pStyle w:val="ListBullet"/>
        <w:ind w:left="360" w:hanging="360"/>
      </w:pPr>
      <w:r>
        <w:rPr>
          <w:rFonts w:ascii="Calibri" w:hAnsi="Calibri"/>
          <w:b/>
          <w:color w:val="525866"/>
          <w:sz w:val="22"/>
        </w:rPr>
        <w:t xml:space="preserve">May 15 (sharp drop): </w:t>
      </w:r>
      <w:r>
        <w:rPr>
          <w:rFonts w:ascii="Calibri" w:hAnsi="Calibri"/>
          <w:color w:val="525866"/>
          <w:sz w:val="22"/>
        </w:rPr>
        <w:t>Stock fell to ~$109, coinciding with broader utility sector weakness (XLU also declined).</w:t>
      </w:r>
    </w:p>
    <w:p>
      <w:pPr>
        <w:pStyle w:val="ListBullet"/>
        <w:ind w:left="360" w:hanging="360"/>
      </w:pPr>
      <w:r>
        <w:rPr>
          <w:rFonts w:ascii="Calibri" w:hAnsi="Calibri"/>
          <w:b/>
          <w:color w:val="525866"/>
          <w:sz w:val="22"/>
        </w:rPr>
        <w:t xml:space="preserve">June 1 (trough): </w:t>
      </w:r>
      <w:r>
        <w:rPr>
          <w:rFonts w:ascii="Calibri" w:hAnsi="Calibri"/>
          <w:color w:val="525866"/>
          <w:sz w:val="22"/>
        </w:rPr>
        <w:t>ETR hit its post-earnings low of ~$105, underperforming XLU meaningfully — likely reflecting combined dilution pressure and sector rotation.</w:t>
      </w:r>
    </w:p>
    <w:p>
      <w:pPr>
        <w:pStyle w:val="ListBullet"/>
        <w:ind w:left="360" w:hanging="360"/>
      </w:pPr>
      <w:r>
        <w:rPr>
          <w:rFonts w:ascii="Calibri" w:hAnsi="Calibri"/>
          <w:b/>
          <w:color w:val="525866"/>
          <w:sz w:val="22"/>
        </w:rPr>
        <w:t xml:space="preserve">June 9 (Investor Day): </w:t>
      </w:r>
      <w:r>
        <w:rPr>
          <w:rFonts w:ascii="Calibri" w:hAnsi="Calibri"/>
          <w:color w:val="525866"/>
          <w:sz w:val="22"/>
        </w:rPr>
        <w:t>Stock recovered to ~$110 and continued climbing through late June as the $67B 5-year capital plan and &gt;8% EPS CAGR through 2035 re-anchored the bull case.</w:t>
      </w:r>
    </w:p>
    <w:p>
      <w:pPr>
        <w:pStyle w:val="ListBullet"/>
        <w:ind w:left="360" w:hanging="360"/>
      </w:pPr>
      <w:r>
        <w:rPr>
          <w:rFonts w:ascii="Calibri" w:hAnsi="Calibri"/>
          <w:b/>
          <w:color w:val="525866"/>
          <w:sz w:val="22"/>
        </w:rPr>
        <w:t xml:space="preserve">June 22–26 (equity settlement): </w:t>
      </w:r>
      <w:r>
        <w:rPr>
          <w:rFonts w:ascii="Calibri" w:hAnsi="Calibri"/>
          <w:color w:val="525866"/>
          <w:sz w:val="22"/>
        </w:rPr>
        <w:t>ETR settled $672M in equity forwards (8.7M shares total), providing balance sheet clarity; stock climbed to ~$116, its post-earnings high.</w:t>
      </w:r>
    </w:p>
    <w:p>
      <w:pPr>
        <w:pStyle w:val="ListBullet"/>
        <w:ind w:left="360" w:hanging="360"/>
      </w:pPr>
      <w:r>
        <w:rPr>
          <w:rFonts w:ascii="Calibri" w:hAnsi="Calibri"/>
          <w:b/>
          <w:color w:val="525866"/>
          <w:sz w:val="22"/>
        </w:rPr>
        <w:t xml:space="preserve">July (pre-earnings drift): </w:t>
      </w:r>
      <w:r>
        <w:rPr>
          <w:rFonts w:ascii="Calibri" w:hAnsi="Calibri"/>
          <w:color w:val="525866"/>
          <w:sz w:val="22"/>
        </w:rPr>
        <w:t>Stock has drifted back to ~$112–$114 range, consistent with typical pre-earnings consolidation.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9 Investor Day, which dramatically expanded the long-term growth narrative ($67B 5-year plan, &gt;8% EPS CAGR through 2035, 15–20 GW additional load potential) — this re-anchored the bull case and is the primary lens through which Q2 results will be interpreted.</w:t>
      </w:r>
    </w:p>
    <w:p>
      <w:pPr>
        <w:pStyle w:val="ListBullet"/>
        <w:ind w:left="360" w:hanging="360"/>
      </w:pPr>
      <w:r>
        <w:rPr>
          <w:rFonts w:ascii="Calibri" w:hAnsi="Calibri"/>
          <w:b/>
          <w:color w:val="525866"/>
          <w:sz w:val="22"/>
        </w:rPr>
        <w:t xml:space="preserve">June 9, 2026 — Investor Day (Most Important): </w:t>
      </w:r>
      <w:r>
        <w:rPr>
          <w:rFonts w:ascii="Calibri" w:hAnsi="Calibri"/>
          <w:color w:val="525866"/>
          <w:sz w:val="22"/>
        </w:rPr>
        <w:t xml:space="preserve">Entergy hosted its 2026 Investor Day, revealing a 5-year capital plan of $67B (doubled from 2 years ago), rate base target of ~$100B by 2030 (16% CAGR, highest in industry), &gt;8% adjusted EPS CAGR extended through at least 2035, and 9% retail sales growth (unmatched in industry). Management also disclosed potential for 15–20 GW of additional large load growth beyond the base case. </w:t>
      </w:r>
    </w:p>
    <w:p>
      <w:pPr>
        <w:pStyle w:val="ListBullet"/>
        <w:ind w:left="360" w:hanging="360"/>
      </w:pPr>
      <w:r>
        <w:rPr>
          <w:rFonts w:ascii="Calibri" w:hAnsi="Calibri"/>
          <w:b/>
          <w:color w:val="525866"/>
          <w:sz w:val="22"/>
        </w:rPr>
        <w:t xml:space="preserve">Implication: </w:t>
      </w:r>
      <w:r>
        <w:rPr>
          <w:rFonts w:ascii="Calibri" w:hAnsi="Calibri"/>
          <w:color w:val="525866"/>
          <w:sz w:val="22"/>
        </w:rPr>
        <w:t>Sets a very high bar for long-term execution; any Q2 commentary on pipeline conversion or new ESA signings will be measured against this framework.</w:t>
      </w:r>
    </w:p>
    <w:p>
      <w:pPr>
        <w:pStyle w:val="ListBullet"/>
        <w:ind w:left="360" w:hanging="360"/>
      </w:pPr>
      <w:r>
        <w:rPr>
          <w:rFonts w:ascii="Calibri" w:hAnsi="Calibri"/>
          <w:b/>
          <w:color w:val="525866"/>
          <w:sz w:val="22"/>
        </w:rPr>
        <w:t xml:space="preserve">June 22–23, 2026 — Equity Forward Settlements ($672M): </w:t>
      </w:r>
      <w:r>
        <w:rPr>
          <w:rFonts w:ascii="Calibri" w:hAnsi="Calibri"/>
          <w:color w:val="525866"/>
          <w:sz w:val="22"/>
        </w:rPr>
        <w:t xml:space="preserve">Entergy settled ATM forward agreements (2.06M shares, ~$126M) and a portion of underwritten forwards (6.65M shares, ~$546M), raising total proceeds of ~$672M. Remaining outstanding underwritten forwards cover 11.1M shares (~$915M estimated proceeds at June 22 valuation), plus 19.2M new shares from May 5 agreements. </w:t>
      </w:r>
    </w:p>
    <w:p>
      <w:pPr>
        <w:pStyle w:val="ListBullet"/>
        <w:ind w:left="360" w:hanging="360"/>
      </w:pPr>
      <w:r>
        <w:rPr>
          <w:rFonts w:ascii="Calibri" w:hAnsi="Calibri"/>
          <w:b/>
          <w:color w:val="525866"/>
          <w:sz w:val="22"/>
        </w:rPr>
        <w:t xml:space="preserve">Implication: </w:t>
      </w:r>
      <w:r>
        <w:rPr>
          <w:rFonts w:ascii="Calibri" w:hAnsi="Calibri"/>
          <w:color w:val="525866"/>
          <w:sz w:val="22"/>
        </w:rPr>
        <w:t>Equity execution is ahead of schedule; ~60% of 5-year equity needs sourced per Investor Day, reducing financing risk and dilution uncertainty.</w:t>
      </w:r>
    </w:p>
    <w:p>
      <w:pPr>
        <w:pStyle w:val="ListBullet"/>
        <w:ind w:left="360" w:hanging="360"/>
      </w:pPr>
      <w:r>
        <w:rPr>
          <w:rFonts w:ascii="Calibri" w:hAnsi="Calibri"/>
          <w:b/>
          <w:color w:val="525866"/>
          <w:sz w:val="22"/>
        </w:rPr>
        <w:t xml:space="preserve">May 7, 2026 — New Equity Forward Sale Agreements (19.2M Shares): </w:t>
      </w:r>
      <w:r>
        <w:rPr>
          <w:rFonts w:ascii="Calibri" w:hAnsi="Calibri"/>
          <w:color w:val="525866"/>
          <w:sz w:val="22"/>
        </w:rPr>
        <w:t xml:space="preserve">Entergy entered into new underwritten forward sale agreements for 19,247,788 shares, adding to the equity financing program. </w:t>
      </w:r>
    </w:p>
    <w:p>
      <w:pPr>
        <w:pStyle w:val="ListBullet"/>
        <w:ind w:left="360" w:hanging="360"/>
      </w:pPr>
      <w:r>
        <w:rPr>
          <w:rFonts w:ascii="Calibri" w:hAnsi="Calibri"/>
          <w:b/>
          <w:color w:val="525866"/>
          <w:sz w:val="22"/>
        </w:rPr>
        <w:t xml:space="preserve">Implication: </w:t>
      </w:r>
      <w:r>
        <w:rPr>
          <w:rFonts w:ascii="Calibri" w:hAnsi="Calibri"/>
          <w:color w:val="525866"/>
          <w:sz w:val="22"/>
        </w:rPr>
        <w:t>Dilution overhang contributed to May stock underperformance; now largely absorbed by the market.</w:t>
      </w:r>
    </w:p>
    <w:p>
      <w:pPr>
        <w:pStyle w:val="ListBullet"/>
        <w:ind w:left="360" w:hanging="360"/>
      </w:pPr>
      <w:r>
        <w:rPr>
          <w:rFonts w:ascii="Calibri" w:hAnsi="Calibri"/>
          <w:b/>
          <w:color w:val="525866"/>
          <w:sz w:val="22"/>
        </w:rPr>
        <w:t xml:space="preserve">May 12, 2026 — Annual Shareholder Meeting: </w:t>
      </w:r>
      <w:r>
        <w:rPr>
          <w:rFonts w:ascii="Calibri" w:hAnsi="Calibri"/>
          <w:color w:val="525866"/>
          <w:sz w:val="22"/>
        </w:rPr>
        <w:t xml:space="preserve">Shareholders re-elected directors, ratified auditor, and approved executive pay. Separately, Entergy froze executive retirement benefits and adjusted CEO early retirement terms. </w:t>
      </w:r>
    </w:p>
    <w:p>
      <w:pPr>
        <w:pStyle w:val="ListBullet"/>
        <w:ind w:left="360" w:hanging="360"/>
      </w:pPr>
      <w:r>
        <w:rPr>
          <w:rFonts w:ascii="Calibri" w:hAnsi="Calibri"/>
          <w:b/>
          <w:color w:val="525866"/>
          <w:sz w:val="22"/>
        </w:rPr>
        <w:t xml:space="preserve">Implication: </w:t>
      </w:r>
      <w:r>
        <w:rPr>
          <w:rFonts w:ascii="Calibri" w:hAnsi="Calibri"/>
          <w:color w:val="525866"/>
          <w:sz w:val="22"/>
        </w:rPr>
        <w:t>Governance housekeeping; retirement benefit freeze may signal cost discipline focus.</w:t>
      </w:r>
    </w:p>
    <w:p>
      <w:pPr>
        <w:pStyle w:val="ListBullet"/>
        <w:ind w:left="360" w:hanging="360"/>
      </w:pPr>
      <w:r>
        <w:rPr>
          <w:rFonts w:ascii="Calibri" w:hAnsi="Calibri"/>
          <w:b/>
          <w:color w:val="525866"/>
          <w:sz w:val="22"/>
        </w:rPr>
        <w:t xml:space="preserve">April 29, 2026 — Q1 2026 Earnings (Baseline): </w:t>
      </w:r>
      <w:r>
        <w:rPr>
          <w:rFonts w:ascii="Calibri" w:hAnsi="Calibri"/>
          <w:color w:val="525866"/>
          <w:sz w:val="22"/>
        </w:rPr>
        <w:t xml:space="preserve">Adjusted EPS of $0.86 (slight miss vs. $0.87 consensus); revenue beat at $3.19B vs. $3.06B consensus. Capital plan raised to $57B (4-year), 2029 EPS outlook raised to $6.40, industrial GWh +14.9% YoY. Management flagged Q2 O&amp;M headwind of ~$0.15/share. </w:t>
      </w:r>
    </w:p>
    <w:p>
      <w:pPr>
        <w:pStyle w:val="ListBullet"/>
        <w:ind w:left="360" w:hanging="360"/>
      </w:pPr>
      <w:r>
        <w:rPr>
          <w:rFonts w:ascii="Calibri" w:hAnsi="Calibri"/>
          <w:b/>
          <w:color w:val="525866"/>
          <w:sz w:val="22"/>
        </w:rPr>
        <w:t xml:space="preserve">Implication: </w:t>
      </w:r>
      <w:r>
        <w:rPr>
          <w:rFonts w:ascii="Calibri" w:hAnsi="Calibri"/>
          <w:color w:val="525866"/>
          <w:sz w:val="22"/>
        </w:rPr>
        <w:t>Sets the baseline for Q2 expectations; the O&amp;M warning is the primary driver of the Q2 EPS estimate reset.</w:t>
      </w:r>
    </w:p>
    <w:p>
      <w:pPr>
        <w:pStyle w:val="ListBullet"/>
        <w:ind w:left="360" w:hanging="360"/>
      </w:pPr>
      <w:r>
        <w:rPr>
          <w:rFonts w:ascii="Calibri" w:hAnsi="Calibri"/>
          <w:b/>
          <w:color w:val="525866"/>
          <w:sz w:val="22"/>
        </w:rPr>
        <w:t xml:space="preserve">Ongoing — Regulatory Filings: </w:t>
      </w:r>
      <w:r>
        <w:rPr>
          <w:rFonts w:ascii="Calibri" w:hAnsi="Calibri"/>
          <w:color w:val="525866"/>
          <w:sz w:val="22"/>
        </w:rPr>
        <w:t xml:space="preserve">Entergy Arkansas filed a base rate case in late February requesting a $45M rate change (&lt;2% impact, &lt;1% residential). Entergy Mississippi filed its annual formula rate plan with no change requested. Louisiana Lightning Initiative application filed for Meta ESA. </w:t>
      </w:r>
    </w:p>
    <w:p>
      <w:pPr>
        <w:pStyle w:val="ListBullet"/>
        <w:ind w:left="360" w:hanging="360"/>
      </w:pPr>
      <w:r>
        <w:rPr>
          <w:rFonts w:ascii="Calibri" w:hAnsi="Calibri"/>
          <w:b/>
          <w:color w:val="525866"/>
          <w:sz w:val="22"/>
        </w:rPr>
        <w:t xml:space="preserve">Implication: </w:t>
      </w:r>
      <w:r>
        <w:rPr>
          <w:rFonts w:ascii="Calibri" w:hAnsi="Calibri"/>
          <w:color w:val="525866"/>
          <w:sz w:val="22"/>
        </w:rPr>
        <w:t>Constructive regulatory posture across all four jurisdictions; Arkansas rate case outcome is a potential catalyst in H2 2026.</w:t>
      </w:r>
    </w:p>
    <w:p>
      <w:pPr>
        <w:pStyle w:val="ListBullet"/>
        <w:ind w:left="360" w:hanging="360"/>
      </w:pPr>
      <w:r>
        <w:rPr>
          <w:rFonts w:ascii="Calibri" w:hAnsi="Calibri"/>
          <w:b/>
          <w:color w:val="525866"/>
          <w:sz w:val="22"/>
        </w:rPr>
        <w:t xml:space="preserve">Ongoing — Orange County Advanced Power Station (Texas): </w:t>
      </w:r>
      <w:r>
        <w:rPr>
          <w:rFonts w:ascii="Calibri" w:hAnsi="Calibri"/>
          <w:color w:val="525866"/>
          <w:sz w:val="22"/>
        </w:rPr>
        <w:t xml:space="preserve">Achieved first fire milestone as of Q1 earnings; expected to be fully online in late summer 2026. </w:t>
      </w:r>
    </w:p>
    <w:p>
      <w:pPr>
        <w:pStyle w:val="ListBullet"/>
        <w:ind w:left="360" w:hanging="360"/>
      </w:pPr>
      <w:r>
        <w:rPr>
          <w:rFonts w:ascii="Calibri" w:hAnsi="Calibri"/>
          <w:b/>
          <w:color w:val="525866"/>
          <w:sz w:val="22"/>
        </w:rPr>
        <w:t xml:space="preserve">Implication: </w:t>
      </w:r>
      <w:r>
        <w:rPr>
          <w:rFonts w:ascii="Calibri" w:hAnsi="Calibri"/>
          <w:color w:val="525866"/>
          <w:sz w:val="22"/>
        </w:rPr>
        <w:t>On-time execution of major generation project supports management credibility on the $67B capital plan.</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Peers reporting Q2 2026 earnings this week (NEE, DTE, PCG, CMS, CNP) uniformly confirm that large load / data center demand is accelerating, not decelerating — a strong read-through for ETR's industrial sales growth narrative; the key differentiator is that ETR's Gulf South positioning and signed ESA backlog give it a more advanced conversion pipeline than most peers.</w:t>
      </w:r>
    </w:p>
    <w:p>
      <w:r>
        <w:rPr>
          <w:rFonts w:ascii="Calibri" w:hAnsi="Calibri"/>
          <w:i/>
          <w:color w:val="525866"/>
          <w:sz w:val="22"/>
        </w:rPr>
        <w:t>Note: All peer commentary below is from Q2 2026 earnings calls/releases (July 22–28, 2026), representing current-quarter read-throughs relevant to ETR's Q2 2026 print.</w:t>
      </w:r>
    </w:p>
    <w:p>
      <w:pPr>
        <w:pStyle w:val="Heading3"/>
      </w:pPr>
      <w:r>
        <w:rPr>
          <w:rFonts w:ascii="Calibri" w:hAnsi="Calibri"/>
          <w:b/>
          <w:color w:val="3B4259"/>
          <w:sz w:val="24"/>
        </w:rPr>
        <w:t>NextEra Energy (NEE) — Q2 2026 Earnings (July 24, 2026)</w:t>
      </w:r>
    </w:p>
    <w:p>
      <w:r>
        <w:rPr>
          <w:rFonts w:ascii="Calibri" w:hAnsi="Calibri"/>
          <w:b/>
          <w:color w:val="525866"/>
          <w:sz w:val="22"/>
        </w:rPr>
        <w:t xml:space="preserve">Relevance to ETR: </w:t>
      </w:r>
      <w:r>
        <w:rPr>
          <w:rFonts w:ascii="Calibri" w:hAnsi="Calibri"/>
          <w:color w:val="525866"/>
          <w:sz w:val="22"/>
        </w:rPr>
        <w:t>NEE is the largest U.S. utility and a bellwether for large load demand trends. Its commentary on hyperscaler demand, speed-to-market, and FERC's Section 206 show cause orders is directly relevant to ETR's data center pipeline conversion.</w:t>
      </w:r>
    </w:p>
    <w:p>
      <w:pPr>
        <w:pStyle w:val="ListBullet"/>
        <w:ind w:left="360" w:hanging="360"/>
      </w:pPr>
      <w:r>
        <w:rPr>
          <w:rFonts w:ascii="Calibri" w:hAnsi="Calibri"/>
          <w:b/>
          <w:color w:val="525866"/>
          <w:sz w:val="22"/>
        </w:rPr>
        <w:t xml:space="preserve">Hyperscaler demand accelerating: </w:t>
      </w:r>
      <w:r>
        <w:rPr>
          <w:rFonts w:ascii="Calibri" w:hAnsi="Calibri"/>
          <w:color w:val="525866"/>
          <w:sz w:val="22"/>
        </w:rPr>
        <w:t xml:space="preserve">"In 2026 and beyond, power demand continues to accelerate. NextEra Energy is uniquely positioned to meet the power demand needs of our customers because we have the scale, financial strength, supply chain, development expertise and technology to build all forms of energy." FPL updated large load expectations from 6 GW to 8 GW by 2032 as part of its new four-year rate agreement. FPL currently has ~21 GW of large load interest, with advanced discussions on 12 GW. </w:t>
      </w:r>
    </w:p>
    <w:p>
      <w:pPr>
        <w:pStyle w:val="ListBullet"/>
        <w:ind w:left="360" w:hanging="360"/>
      </w:pPr>
      <w:r>
        <w:rPr>
          <w:rFonts w:ascii="Calibri" w:hAnsi="Calibri"/>
          <w:b/>
          <w:color w:val="525866"/>
          <w:sz w:val="22"/>
        </w:rPr>
        <w:t xml:space="preserve">ETR Read-Through: </w:t>
      </w:r>
      <w:r>
        <w:rPr>
          <w:rFonts w:ascii="Calibri" w:hAnsi="Calibri"/>
          <w:color w:val="525866"/>
          <w:sz w:val="22"/>
        </w:rPr>
        <w:t>Confirms the demand environment ETR is operating in is real and expanding; ETR's 7–12 GW pipeline outside the plan is credible in this context.</w:t>
      </w:r>
    </w:p>
    <w:p>
      <w:pPr>
        <w:pStyle w:val="ListBullet"/>
        <w:ind w:left="360" w:hanging="360"/>
      </w:pPr>
      <w:r>
        <w:rPr>
          <w:rFonts w:ascii="Calibri" w:hAnsi="Calibri"/>
          <w:b/>
          <w:color w:val="525866"/>
          <w:sz w:val="22"/>
        </w:rPr>
        <w:t xml:space="preserve">FERC Section 206 show cause orders (June 2026): </w:t>
      </w:r>
      <w:r>
        <w:rPr>
          <w:rFonts w:ascii="Calibri" w:hAnsi="Calibri"/>
          <w:color w:val="525866"/>
          <w:sz w:val="22"/>
        </w:rPr>
        <w:t xml:space="preserve">"We believe FERC's Section 206 show cause orders that were announced in June will create yet another market shift and generate strong demand for the ability to match load with generation. We spent the last 18 months preparing and positioning our business to deliver that solution for customers." </w:t>
      </w:r>
    </w:p>
    <w:p>
      <w:pPr>
        <w:pStyle w:val="ListBullet"/>
        <w:ind w:left="360" w:hanging="360"/>
      </w:pPr>
      <w:r>
        <w:rPr>
          <w:rFonts w:ascii="Calibri" w:hAnsi="Calibri"/>
          <w:b/>
          <w:color w:val="525866"/>
          <w:sz w:val="22"/>
        </w:rPr>
        <w:t xml:space="preserve">ETR Read-Through: </w:t>
      </w:r>
      <w:r>
        <w:rPr>
          <w:rFonts w:ascii="Calibri" w:hAnsi="Calibri"/>
          <w:color w:val="525866"/>
          <w:sz w:val="22"/>
        </w:rPr>
        <w:t>ETR's Fair Share Plus pledge and signed ESA structure (minimum bill levels, full cost-of-service) is already aligned with the regulatory direction FERC is pushing; this is a competitive advantage vs. peers still designing their frameworks.</w:t>
      </w:r>
    </w:p>
    <w:p>
      <w:pPr>
        <w:pStyle w:val="ListBullet"/>
        <w:ind w:left="360" w:hanging="360"/>
      </w:pPr>
      <w:r>
        <w:rPr>
          <w:rFonts w:ascii="Calibri" w:hAnsi="Calibri"/>
          <w:b/>
          <w:color w:val="525866"/>
          <w:sz w:val="22"/>
        </w:rPr>
        <w:t xml:space="preserve">Renewables &amp; storage backlog: </w:t>
      </w:r>
      <w:r>
        <w:rPr>
          <w:rFonts w:ascii="Calibri" w:hAnsi="Calibri"/>
          <w:color w:val="525866"/>
          <w:sz w:val="22"/>
        </w:rPr>
        <w:t xml:space="preserve">Energy Resources added 3.6 GW of renewables and storage to its backlog in Q2 (second-largest quarter ever), with battery storage representing 2 GW. Total backlog now ~35.1 GW. Recontracting deals priced at ~$20/MWh premium above recent realized pricing, locked in for ~15 years on average. </w:t>
      </w:r>
    </w:p>
    <w:p>
      <w:pPr>
        <w:pStyle w:val="ListBullet"/>
        <w:ind w:left="360" w:hanging="360"/>
      </w:pPr>
      <w:r>
        <w:rPr>
          <w:rFonts w:ascii="Calibri" w:hAnsi="Calibri"/>
          <w:b/>
          <w:color w:val="525866"/>
          <w:sz w:val="22"/>
        </w:rPr>
        <w:t xml:space="preserve">ETR Read-Through: </w:t>
      </w:r>
      <w:r>
        <w:rPr>
          <w:rFonts w:ascii="Calibri" w:hAnsi="Calibri"/>
          <w:color w:val="525866"/>
          <w:sz w:val="22"/>
        </w:rPr>
        <w:t>Strong renewables demand supports ETR's plan to pursue 2.5 GW of additional renewables under the Meta agreement; pricing environment is favorable.</w:t>
      </w:r>
    </w:p>
    <w:p>
      <w:pPr>
        <w:pStyle w:val="ListBullet"/>
        <w:ind w:left="360" w:hanging="360"/>
      </w:pPr>
      <w:r>
        <w:rPr>
          <w:rFonts w:ascii="Calibri" w:hAnsi="Calibri"/>
          <w:b/>
          <w:color w:val="525866"/>
          <w:sz w:val="22"/>
        </w:rPr>
        <w:t xml:space="preserve">Large load tariff codified into Florida law: </w:t>
      </w:r>
      <w:r>
        <w:rPr>
          <w:rFonts w:ascii="Calibri" w:hAnsi="Calibri"/>
          <w:color w:val="525866"/>
          <w:sz w:val="22"/>
        </w:rPr>
        <w:t xml:space="preserve">Florida's governor signed a bill in May codifying many aspects of FPL's large load tariff into law. NEE and Dominion announced support for the White House's Ratepayer Protection Pledge. </w:t>
      </w:r>
    </w:p>
    <w:p>
      <w:pPr>
        <w:pStyle w:val="ListBullet"/>
        <w:ind w:left="360" w:hanging="360"/>
      </w:pPr>
      <w:r>
        <w:rPr>
          <w:rFonts w:ascii="Calibri" w:hAnsi="Calibri"/>
          <w:b/>
          <w:color w:val="525866"/>
          <w:sz w:val="22"/>
        </w:rPr>
        <w:t xml:space="preserve">ETR Read-Through: </w:t>
      </w:r>
      <w:r>
        <w:rPr>
          <w:rFonts w:ascii="Calibri" w:hAnsi="Calibri"/>
          <w:color w:val="525866"/>
          <w:sz w:val="22"/>
        </w:rPr>
        <w:t>Regulatory momentum for large load frameworks is building nationally; ETR's Fair Share Plus pledge is ahead of the curve.</w:t>
      </w:r>
    </w:p>
    <w:p>
      <w:pPr>
        <w:pStyle w:val="Heading3"/>
      </w:pPr>
      <w:r>
        <w:rPr>
          <w:rFonts w:ascii="Calibri" w:hAnsi="Calibri"/>
          <w:b/>
          <w:color w:val="3B4259"/>
          <w:sz w:val="24"/>
        </w:rPr>
        <w:t>DTE Energy (DTE) — Q2 2026 Earnings (July 28, 2026)</w:t>
      </w:r>
    </w:p>
    <w:p>
      <w:r>
        <w:rPr>
          <w:rFonts w:ascii="Calibri" w:hAnsi="Calibri"/>
          <w:b/>
          <w:color w:val="525866"/>
          <w:sz w:val="22"/>
        </w:rPr>
        <w:t xml:space="preserve">Relevance to ETR: </w:t>
      </w:r>
      <w:r>
        <w:rPr>
          <w:rFonts w:ascii="Calibri" w:hAnsi="Calibri"/>
          <w:color w:val="525866"/>
          <w:sz w:val="22"/>
        </w:rPr>
        <w:t>DTE is a Midwest regulated utility with a large data center pipeline (Oracle 1.4 GW + Google 1 GW signed; 5–6 GW additional pipeline). Its commentary on pipeline advancement criteria, credit protections, and the path to &gt;8% EPS growth is a useful benchmark for ETR's own pipeline conversion narrative.</w:t>
      </w:r>
    </w:p>
    <w:p>
      <w:pPr>
        <w:pStyle w:val="ListBullet"/>
        <w:ind w:left="360" w:hanging="360"/>
      </w:pPr>
      <w:r>
        <w:rPr>
          <w:rFonts w:ascii="Calibri" w:hAnsi="Calibri"/>
          <w:b/>
          <w:color w:val="525866"/>
          <w:sz w:val="22"/>
        </w:rPr>
        <w:t xml:space="preserve">Data center pipeline advancing: </w:t>
      </w:r>
      <w:r>
        <w:rPr>
          <w:rFonts w:ascii="Calibri" w:hAnsi="Calibri"/>
          <w:color w:val="525866"/>
          <w:sz w:val="22"/>
        </w:rPr>
        <w:t xml:space="preserve">"Beyond Oracle and Google, our pipeline remains strong and continues to advance. We currently see 5 to 6 GW of additional opportunities, including roughly two gigawatts in advanced discussions, with a target of reaching an additional agreement by the end of 2026." DTE feels "confident in our ability to secure another agreement by the end of the year." </w:t>
      </w:r>
    </w:p>
    <w:p>
      <w:pPr>
        <w:pStyle w:val="ListBullet"/>
        <w:ind w:left="360" w:hanging="360"/>
      </w:pPr>
      <w:r>
        <w:rPr>
          <w:rFonts w:ascii="Calibri" w:hAnsi="Calibri"/>
          <w:b/>
          <w:color w:val="525866"/>
          <w:sz w:val="22"/>
        </w:rPr>
        <w:t xml:space="preserve">ETR Read-Through: </w:t>
      </w:r>
      <w:r>
        <w:rPr>
          <w:rFonts w:ascii="Calibri" w:hAnsi="Calibri"/>
          <w:color w:val="525866"/>
          <w:sz w:val="22"/>
        </w:rPr>
        <w:t>DTE's pipeline advancement criteria (land position, zoning, site plans) mirrors the rigor ETR applies to its ESA process; DTE's confidence in closing another deal by year-end is a positive signal for the broader hyperscaler demand environment.</w:t>
      </w:r>
    </w:p>
    <w:p>
      <w:pPr>
        <w:pStyle w:val="ListBullet"/>
        <w:ind w:left="360" w:hanging="360"/>
      </w:pPr>
      <w:r>
        <w:rPr>
          <w:rFonts w:ascii="Calibri" w:hAnsi="Calibri"/>
          <w:b/>
          <w:color w:val="525866"/>
          <w:sz w:val="22"/>
        </w:rPr>
        <w:t xml:space="preserve">3 GW = &gt;8% EPS growth threshold: </w:t>
      </w:r>
      <w:r>
        <w:rPr>
          <w:rFonts w:ascii="Calibri" w:hAnsi="Calibri"/>
          <w:color w:val="525866"/>
          <w:sz w:val="22"/>
        </w:rPr>
        <w:t xml:space="preserve">"We have always said that three gigawatts gets us eight plus... So that'll get us above eight. We now have the one gigawatt in place with Google. And that gets us solidly to eight." </w:t>
      </w:r>
    </w:p>
    <w:p>
      <w:pPr>
        <w:pStyle w:val="ListBullet"/>
        <w:ind w:left="360" w:hanging="360"/>
      </w:pPr>
      <w:r>
        <w:rPr>
          <w:rFonts w:ascii="Calibri" w:hAnsi="Calibri"/>
          <w:b/>
          <w:color w:val="525866"/>
          <w:sz w:val="22"/>
        </w:rPr>
        <w:t xml:space="preserve">ETR Read-Through: </w:t>
      </w:r>
      <w:r>
        <w:rPr>
          <w:rFonts w:ascii="Calibri" w:hAnsi="Calibri"/>
          <w:color w:val="525866"/>
          <w:sz w:val="22"/>
        </w:rPr>
        <w:t>ETR already has far more than 3 GW of signed ESAs (Meta alone is multi-GW), supporting its &gt;8% EPS CAGR claim; DTE's framework validates ETR's math.</w:t>
      </w:r>
    </w:p>
    <w:p>
      <w:pPr>
        <w:pStyle w:val="ListBullet"/>
        <w:ind w:left="360" w:hanging="360"/>
      </w:pPr>
      <w:r>
        <w:rPr>
          <w:rFonts w:ascii="Calibri" w:hAnsi="Calibri"/>
          <w:b/>
          <w:color w:val="525866"/>
          <w:sz w:val="22"/>
        </w:rPr>
        <w:t xml:space="preserve">Credit protections for large customers: </w:t>
      </w:r>
      <w:r>
        <w:rPr>
          <w:rFonts w:ascii="Calibri" w:hAnsi="Calibri"/>
          <w:color w:val="525866"/>
          <w:sz w:val="22"/>
        </w:rPr>
        <w:t xml:space="preserve">Following Oracle's credit downgrade (still investment grade), DTE confirmed its contract includes "additional collateral requirements at various downgrade triggers" providing "full protection from stranded asset risk." </w:t>
      </w:r>
    </w:p>
    <w:p>
      <w:pPr>
        <w:pStyle w:val="ListBullet"/>
        <w:ind w:left="360" w:hanging="360"/>
      </w:pPr>
      <w:r>
        <w:rPr>
          <w:rFonts w:ascii="Calibri" w:hAnsi="Calibri"/>
          <w:b/>
          <w:color w:val="525866"/>
          <w:sz w:val="22"/>
        </w:rPr>
        <w:t xml:space="preserve">ETR Read-Through: </w:t>
      </w:r>
      <w:r>
        <w:rPr>
          <w:rFonts w:ascii="Calibri" w:hAnsi="Calibri"/>
          <w:color w:val="525866"/>
          <w:sz w:val="22"/>
        </w:rPr>
        <w:t>ETR's minimum bill structure and Fair Share Plus pledge serve a similar protective function; this commentary reinforces that the industry is building robust credit protections into large load contracts.</w:t>
      </w:r>
    </w:p>
    <w:p>
      <w:pPr>
        <w:pStyle w:val="ListBullet"/>
        <w:ind w:left="360" w:hanging="360"/>
      </w:pPr>
      <w:r>
        <w:rPr>
          <w:rFonts w:ascii="Calibri" w:hAnsi="Calibri"/>
          <w:b/>
          <w:color w:val="525866"/>
          <w:sz w:val="22"/>
        </w:rPr>
        <w:t xml:space="preserve">IRP filing in Q3 2026: </w:t>
      </w:r>
      <w:r>
        <w:rPr>
          <w:rFonts w:ascii="Calibri" w:hAnsi="Calibri"/>
          <w:color w:val="525866"/>
          <w:sz w:val="22"/>
        </w:rPr>
        <w:t xml:space="preserve">DTE plans to file its Integrated Resource Plan in Q3 2026, with the base case incorporating Oracle and Google contracts and the high end reflecting the full pipeline. </w:t>
      </w:r>
    </w:p>
    <w:p>
      <w:pPr>
        <w:pStyle w:val="ListBullet"/>
        <w:ind w:left="360" w:hanging="360"/>
      </w:pPr>
      <w:r>
        <w:rPr>
          <w:rFonts w:ascii="Calibri" w:hAnsi="Calibri"/>
          <w:b/>
          <w:color w:val="525866"/>
          <w:sz w:val="22"/>
        </w:rPr>
        <w:t xml:space="preserve">ETR Read-Through: </w:t>
      </w:r>
      <w:r>
        <w:rPr>
          <w:rFonts w:ascii="Calibri" w:hAnsi="Calibri"/>
          <w:color w:val="525866"/>
          <w:sz w:val="22"/>
        </w:rPr>
        <w:t>ETR's own regulatory filings (Louisiana Lightning Initiative for Meta, Arkansas rate case) are similarly designed to provide regulatory visibility into the capital plan; watch for any ETR commentary on IRP or regulatory filing timelines.</w:t>
      </w:r>
    </w:p>
    <w:p>
      <w:pPr>
        <w:pStyle w:val="Heading3"/>
      </w:pPr>
      <w:r>
        <w:rPr>
          <w:rFonts w:ascii="Calibri" w:hAnsi="Calibri"/>
          <w:b/>
          <w:color w:val="3B4259"/>
          <w:sz w:val="24"/>
        </w:rPr>
        <w:t>CenterPoint Energy (CNP) — Q2 2026 Earnings (July 28, 2026)</w:t>
      </w:r>
    </w:p>
    <w:p>
      <w:r>
        <w:rPr>
          <w:rFonts w:ascii="Calibri" w:hAnsi="Calibri"/>
          <w:b/>
          <w:color w:val="525866"/>
          <w:sz w:val="22"/>
        </w:rPr>
        <w:t xml:space="preserve">Relevance to ETR: </w:t>
      </w:r>
      <w:r>
        <w:rPr>
          <w:rFonts w:ascii="Calibri" w:hAnsi="Calibri"/>
          <w:color w:val="525866"/>
          <w:sz w:val="22"/>
        </w:rPr>
        <w:t>CNP's Houston Electric territory is the most directly comparable large-load growth story to ETR's Gulf South positioning. CNP's ERCOT batch zero process commentary and the 14 GW of eligible projects is a strong read-through for the durability of Gulf Coast industrial/data center demand.</w:t>
      </w:r>
    </w:p>
    <w:p>
      <w:pPr>
        <w:pStyle w:val="ListBullet"/>
        <w:ind w:left="360" w:hanging="360"/>
      </w:pPr>
      <w:r>
        <w:rPr>
          <w:rFonts w:ascii="Calibri" w:hAnsi="Calibri"/>
          <w:b/>
          <w:color w:val="525866"/>
          <w:sz w:val="22"/>
        </w:rPr>
        <w:t xml:space="preserve">17 GW submitted to ERCOT batch zero; 14 GW eligible: </w:t>
      </w:r>
      <w:r>
        <w:rPr>
          <w:rFonts w:ascii="Calibri" w:hAnsi="Calibri"/>
          <w:color w:val="525866"/>
          <w:sz w:val="22"/>
        </w:rPr>
        <w:t xml:space="preserve">"Submission of more than 17 GW of large load projects... 14 GW of these submissions are expected to be eligible for batch zero... The 14 GW of projects eligible for batch zero would represent over 65% increase in our system's peak demand, further reinforcing our confidence in achieving the accelerated 50% load growth by year-end 2029." </w:t>
      </w:r>
    </w:p>
    <w:p>
      <w:pPr>
        <w:pStyle w:val="ListBullet"/>
        <w:ind w:left="360" w:hanging="360"/>
      </w:pPr>
      <w:r>
        <w:rPr>
          <w:rFonts w:ascii="Calibri" w:hAnsi="Calibri"/>
          <w:b/>
          <w:color w:val="525866"/>
          <w:sz w:val="22"/>
        </w:rPr>
        <w:t xml:space="preserve">ETR Read-Through: </w:t>
      </w:r>
      <w:r>
        <w:rPr>
          <w:rFonts w:ascii="Calibri" w:hAnsi="Calibri"/>
          <w:color w:val="525866"/>
          <w:sz w:val="22"/>
        </w:rPr>
        <w:t>The scale of demand in the Gulf South region (Texas + Louisiana) is extraordinary; ETR's 7–12 GW pipeline is credible given CNP alone is seeing 14 GW of eligible projects in its adjacent territory.</w:t>
      </w:r>
    </w:p>
    <w:p>
      <w:pPr>
        <w:pStyle w:val="ListBullet"/>
        <w:ind w:left="360" w:hanging="360"/>
      </w:pPr>
      <w:r>
        <w:rPr>
          <w:rFonts w:ascii="Calibri" w:hAnsi="Calibri"/>
          <w:b/>
          <w:color w:val="525866"/>
          <w:sz w:val="22"/>
        </w:rPr>
        <w:t xml:space="preserve">$5B in customer savings from 14 GW: </w:t>
      </w:r>
      <w:r>
        <w:rPr>
          <w:rFonts w:ascii="Calibri" w:hAnsi="Calibri"/>
          <w:color w:val="525866"/>
          <w:sz w:val="22"/>
        </w:rPr>
        <w:t xml:space="preserve">"Residential and commercial electric customers will save over $5 billion over the next decade through the addition of 14 GW of eligible base load and studied load projects." </w:t>
      </w:r>
    </w:p>
    <w:p>
      <w:pPr>
        <w:pStyle w:val="ListBullet"/>
        <w:ind w:left="360" w:hanging="360"/>
      </w:pPr>
      <w:r>
        <w:rPr>
          <w:rFonts w:ascii="Calibri" w:hAnsi="Calibri"/>
          <w:b/>
          <w:color w:val="525866"/>
          <w:sz w:val="22"/>
        </w:rPr>
        <w:t xml:space="preserve">ETR Read-Through: </w:t>
      </w:r>
      <w:r>
        <w:rPr>
          <w:rFonts w:ascii="Calibri" w:hAnsi="Calibri"/>
          <w:color w:val="525866"/>
          <w:sz w:val="22"/>
        </w:rPr>
        <w:t>Directly validates ETR's Fair Share Plus pledge narrative — large load customers reducing bills for existing customers is a regional theme, not just an ETR-specific claim.</w:t>
      </w:r>
    </w:p>
    <w:p>
      <w:pPr>
        <w:pStyle w:val="ListBullet"/>
        <w:ind w:left="360" w:hanging="360"/>
      </w:pPr>
      <w:r>
        <w:rPr>
          <w:rFonts w:ascii="Calibri" w:hAnsi="Calibri"/>
          <w:b/>
          <w:color w:val="525866"/>
          <w:sz w:val="22"/>
        </w:rPr>
        <w:t xml:space="preserve">$1.2B capital plan increase (no new equity): </w:t>
      </w:r>
      <w:r>
        <w:rPr>
          <w:rFonts w:ascii="Calibri" w:hAnsi="Calibri"/>
          <w:color w:val="525866"/>
          <w:sz w:val="22"/>
        </w:rPr>
        <w:t xml:space="preserve">CNP announced a $1.2B increase to its capital investment plan ($800M for batch zero upgrades + $400M for Downtown Houston Revitalization), deployable over five years "without the need for additional equity financing." </w:t>
      </w:r>
    </w:p>
    <w:p>
      <w:pPr>
        <w:pStyle w:val="ListBullet"/>
        <w:ind w:left="360" w:hanging="360"/>
      </w:pPr>
      <w:r>
        <w:rPr>
          <w:rFonts w:ascii="Calibri" w:hAnsi="Calibri"/>
          <w:b/>
          <w:color w:val="525866"/>
          <w:sz w:val="22"/>
        </w:rPr>
        <w:t xml:space="preserve">ETR Read-Through: </w:t>
      </w:r>
      <w:r>
        <w:rPr>
          <w:rFonts w:ascii="Calibri" w:hAnsi="Calibri"/>
          <w:color w:val="525866"/>
          <w:sz w:val="22"/>
        </w:rPr>
        <w:t>CNP's ability to fund incremental CapEx without equity is a positive signal for the sector's financing discipline; ETR's equity-light approach (10–15% of total CapEx) is similarly structured.</w:t>
      </w:r>
    </w:p>
    <w:p>
      <w:pPr>
        <w:pStyle w:val="ListBullet"/>
        <w:ind w:left="360" w:hanging="360"/>
      </w:pPr>
      <w:r>
        <w:rPr>
          <w:rFonts w:ascii="Calibri" w:hAnsi="Calibri"/>
          <w:b/>
          <w:color w:val="525866"/>
          <w:sz w:val="22"/>
        </w:rPr>
        <w:t xml:space="preserve">Tailwinds accelerating: </w:t>
      </w:r>
      <w:r>
        <w:rPr>
          <w:rFonts w:ascii="Calibri" w:hAnsi="Calibri"/>
          <w:color w:val="525866"/>
          <w:sz w:val="22"/>
        </w:rPr>
        <w:t xml:space="preserve">"We see tailwinds accelerating, not decelerating." Cash flow from demand charges of ~$6M/GW/month expected to accelerate meaningfully over 2027–2029 as 14 GW of new load energizes. </w:t>
      </w:r>
    </w:p>
    <w:p>
      <w:pPr>
        <w:pStyle w:val="ListBullet"/>
        <w:ind w:left="360" w:hanging="360"/>
      </w:pPr>
      <w:r>
        <w:rPr>
          <w:rFonts w:ascii="Calibri" w:hAnsi="Calibri"/>
          <w:b/>
          <w:color w:val="525866"/>
          <w:sz w:val="22"/>
        </w:rPr>
        <w:t xml:space="preserve">ETR Read-Through: </w:t>
      </w:r>
      <w:r>
        <w:rPr>
          <w:rFonts w:ascii="Calibri" w:hAnsi="Calibri"/>
          <w:color w:val="525866"/>
          <w:sz w:val="22"/>
        </w:rPr>
        <w:t>The cash flow ramp from large load customers is a multi-year tailwind; ETR's advance payment receipts (Q1 OCF +$293M YoY) are an early manifestation of this dynamic.</w:t>
      </w:r>
    </w:p>
    <w:p>
      <w:pPr>
        <w:pStyle w:val="Heading3"/>
      </w:pPr>
      <w:r>
        <w:rPr>
          <w:rFonts w:ascii="Calibri" w:hAnsi="Calibri"/>
          <w:b/>
          <w:color w:val="3B4259"/>
          <w:sz w:val="24"/>
        </w:rPr>
        <w:t>PG&amp;E Corporation (PCG) — Q2 2026 Earnings (July 23, 2026)</w:t>
      </w:r>
    </w:p>
    <w:p>
      <w:r>
        <w:rPr>
          <w:rFonts w:ascii="Calibri" w:hAnsi="Calibri"/>
          <w:b/>
          <w:color w:val="525866"/>
          <w:sz w:val="22"/>
        </w:rPr>
        <w:t xml:space="preserve">Relevance to ETR: </w:t>
      </w:r>
      <w:r>
        <w:rPr>
          <w:rFonts w:ascii="Calibri" w:hAnsi="Calibri"/>
          <w:color w:val="525866"/>
          <w:sz w:val="22"/>
        </w:rPr>
        <w:t>PCG's Silicon Valley data center pipeline (&gt;12 GW) and its focus on pricing discipline and rate-reducing frameworks is a useful contrast to ETR's Gulf South approach. PCG's commentary on FERC's show cause order and the importance of transparent large load frameworks is directly relevant.</w:t>
      </w:r>
    </w:p>
    <w:p>
      <w:pPr>
        <w:pStyle w:val="ListBullet"/>
        <w:ind w:left="360" w:hanging="360"/>
      </w:pPr>
      <w:r>
        <w:rPr>
          <w:rFonts w:ascii="Calibri" w:hAnsi="Calibri"/>
          <w:b/>
          <w:color w:val="525866"/>
          <w:sz w:val="22"/>
        </w:rPr>
        <w:t xml:space="preserve">Pipeline now &gt;12 GW (up from &gt;10 GW last quarter): </w:t>
      </w:r>
      <w:r>
        <w:rPr>
          <w:rFonts w:ascii="Calibri" w:hAnsi="Calibri"/>
          <w:color w:val="525866"/>
          <w:sz w:val="22"/>
        </w:rPr>
        <w:t xml:space="preserve">"This quarter, that demand is coming into focus with new projects moving into our pipeline, which now stands at over 12 GW as we continue to build our pipeline." PCG raised the threshold for inclusion in final engineering (now requires a Work Performance Agreement + ~10% upfront capital fee). </w:t>
      </w:r>
    </w:p>
    <w:p>
      <w:pPr>
        <w:pStyle w:val="ListBullet"/>
        <w:ind w:left="360" w:hanging="360"/>
      </w:pPr>
      <w:r>
        <w:rPr>
          <w:rFonts w:ascii="Calibri" w:hAnsi="Calibri"/>
          <w:b/>
          <w:color w:val="525866"/>
          <w:sz w:val="22"/>
        </w:rPr>
        <w:t xml:space="preserve">ETR Read-Through: </w:t>
      </w:r>
      <w:r>
        <w:rPr>
          <w:rFonts w:ascii="Calibri" w:hAnsi="Calibri"/>
          <w:color w:val="525866"/>
          <w:sz w:val="22"/>
        </w:rPr>
        <w:t>PCG's pipeline quality improvement (higher conversion thresholds) mirrors ETR's ESA-only inclusion policy; both companies are focused on high-confidence pipeline rather than raw size.</w:t>
      </w:r>
    </w:p>
    <w:p>
      <w:pPr>
        <w:pStyle w:val="ListBullet"/>
        <w:ind w:left="360" w:hanging="360"/>
      </w:pPr>
      <w:r>
        <w:rPr>
          <w:rFonts w:ascii="Calibri" w:hAnsi="Calibri"/>
          <w:b/>
          <w:color w:val="525866"/>
          <w:sz w:val="22"/>
        </w:rPr>
        <w:t xml:space="preserve">Pricing discipline is paramount: </w:t>
      </w:r>
      <w:r>
        <w:rPr>
          <w:rFonts w:ascii="Calibri" w:hAnsi="Calibri"/>
          <w:color w:val="525866"/>
          <w:sz w:val="22"/>
        </w:rPr>
        <w:t xml:space="preserve">"We remain very focused on pricing this load correctly, attractive to data center customers but still rate reducing for our other customers... Our number one criteria is they must be rate reducing. If you get the pricing right, then that can convert into the 1% per gigawatt of new load, a 1% rate reduction." </w:t>
      </w:r>
    </w:p>
    <w:p>
      <w:pPr>
        <w:pStyle w:val="ListBullet"/>
        <w:ind w:left="360" w:hanging="360"/>
      </w:pPr>
      <w:r>
        <w:rPr>
          <w:rFonts w:ascii="Calibri" w:hAnsi="Calibri"/>
          <w:b/>
          <w:color w:val="525866"/>
          <w:sz w:val="22"/>
        </w:rPr>
        <w:t xml:space="preserve">ETR Read-Through: </w:t>
      </w:r>
      <w:r>
        <w:rPr>
          <w:rFonts w:ascii="Calibri" w:hAnsi="Calibri"/>
          <w:color w:val="525866"/>
          <w:sz w:val="22"/>
        </w:rPr>
        <w:t>ETR's Fair Share Plus pledge is the Gulf South equivalent of PCG's pricing discipline framework; both companies are using large load as a tool to reduce rates for existing customers, which is the key regulatory and political differentiator.</w:t>
      </w:r>
    </w:p>
    <w:p>
      <w:pPr>
        <w:pStyle w:val="ListBullet"/>
        <w:ind w:left="360" w:hanging="360"/>
      </w:pPr>
      <w:r>
        <w:rPr>
          <w:rFonts w:ascii="Calibri" w:hAnsi="Calibri"/>
          <w:b/>
          <w:color w:val="525866"/>
          <w:sz w:val="22"/>
        </w:rPr>
        <w:t xml:space="preserve">FERC show cause order is a positive step: </w:t>
      </w:r>
      <w:r>
        <w:rPr>
          <w:rFonts w:ascii="Calibri" w:hAnsi="Calibri"/>
          <w:color w:val="525866"/>
          <w:sz w:val="22"/>
        </w:rPr>
        <w:t xml:space="preserve">"We support efforts to achieve this on a national level, and believe FERC's recent order to show cause is a positive step." PCG is collaborating with CAISO to respond by next month's deadline. </w:t>
      </w:r>
    </w:p>
    <w:p>
      <w:pPr>
        <w:pStyle w:val="ListBullet"/>
        <w:ind w:left="360" w:hanging="360"/>
      </w:pPr>
      <w:r>
        <w:rPr>
          <w:rFonts w:ascii="Calibri" w:hAnsi="Calibri"/>
          <w:b/>
          <w:color w:val="525866"/>
          <w:sz w:val="22"/>
        </w:rPr>
        <w:t xml:space="preserve">ETR Read-Through: </w:t>
      </w:r>
      <w:r>
        <w:rPr>
          <w:rFonts w:ascii="Calibri" w:hAnsi="Calibri"/>
          <w:color w:val="525866"/>
          <w:sz w:val="22"/>
        </w:rPr>
        <w:t>National regulatory momentum toward large load cost allocation is building; ETR's proactive Fair Share Plus framework positions it ahead of peers who are still responding to FERC.</w:t>
      </w:r>
    </w:p>
    <w:p>
      <w:pPr>
        <w:pStyle w:val="ListBullet"/>
        <w:ind w:left="360" w:hanging="360"/>
      </w:pPr>
      <w:r>
        <w:rPr>
          <w:rFonts w:ascii="Calibri" w:hAnsi="Calibri"/>
          <w:b/>
          <w:color w:val="525866"/>
          <w:sz w:val="22"/>
        </w:rPr>
        <w:t xml:space="preserve">1.8 GW expected online by 2030 from pipeline: </w:t>
      </w:r>
      <w:r>
        <w:rPr>
          <w:rFonts w:ascii="Calibri" w:hAnsi="Calibri"/>
          <w:color w:val="525866"/>
          <w:sz w:val="22"/>
        </w:rPr>
        <w:t xml:space="preserve">"What we know right now and what we've been clear about is we expect about 1.8 GW to be online by 2030 of this pipeline." </w:t>
      </w:r>
    </w:p>
    <w:p>
      <w:pPr>
        <w:pStyle w:val="ListBullet"/>
        <w:ind w:left="360" w:hanging="360"/>
      </w:pPr>
      <w:r>
        <w:rPr>
          <w:rFonts w:ascii="Calibri" w:hAnsi="Calibri"/>
          <w:b/>
          <w:color w:val="525866"/>
          <w:sz w:val="22"/>
        </w:rPr>
        <w:t xml:space="preserve">ETR Read-Through: </w:t>
      </w:r>
      <w:r>
        <w:rPr>
          <w:rFonts w:ascii="Calibri" w:hAnsi="Calibri"/>
          <w:color w:val="525866"/>
          <w:sz w:val="22"/>
        </w:rPr>
        <w:t>PCG's 1.8 GW by 2030 from a 12 GW pipeline (15% conversion) is a useful benchmark; ETR's conversion rate from its 7–12 GW pipeline will be a key investor focus on the Q2 call.</w:t>
      </w:r>
    </w:p>
    <w:p>
      <w:pPr>
        <w:pStyle w:val="Heading3"/>
      </w:pPr>
      <w:r>
        <w:rPr>
          <w:rFonts w:ascii="Calibri" w:hAnsi="Calibri"/>
          <w:b/>
          <w:color w:val="3B4259"/>
          <w:sz w:val="24"/>
        </w:rPr>
        <w:t>CMS Energy (CMS) — Q2 2026 Earnings (July 28, 2026)</w:t>
      </w:r>
    </w:p>
    <w:p>
      <w:r>
        <w:rPr>
          <w:rFonts w:ascii="Calibri" w:hAnsi="Calibri"/>
          <w:b/>
          <w:color w:val="525866"/>
          <w:sz w:val="22"/>
        </w:rPr>
        <w:t xml:space="preserve">Relevance to ETR: </w:t>
      </w:r>
      <w:r>
        <w:rPr>
          <w:rFonts w:ascii="Calibri" w:hAnsi="Calibri"/>
          <w:color w:val="525866"/>
          <w:sz w:val="22"/>
        </w:rPr>
        <w:t>CMS is a smaller Midwest utility with a nascent data center pipeline. Its commentary on large load tariff design and the IRP process is relevant as a contrast to ETR's more advanced pipeline; CMS's $7.50/month residential bill benefit per GW of new load is a useful benchmark for ETR's customer affordability claims.</w:t>
      </w:r>
    </w:p>
    <w:p>
      <w:pPr>
        <w:pStyle w:val="ListBullet"/>
        <w:ind w:left="360" w:hanging="360"/>
      </w:pPr>
      <w:r>
        <w:rPr>
          <w:rFonts w:ascii="Calibri" w:hAnsi="Calibri"/>
          <w:b/>
          <w:color w:val="525866"/>
          <w:sz w:val="22"/>
        </w:rPr>
        <w:t xml:space="preserve">Large load tariff agreement reached: </w:t>
      </w:r>
      <w:r>
        <w:rPr>
          <w:rFonts w:ascii="Calibri" w:hAnsi="Calibri"/>
          <w:color w:val="525866"/>
          <w:sz w:val="22"/>
        </w:rPr>
        <w:t xml:space="preserve">"Data center front, we have made meaningful progress and have taken an additional step reaching an agreement under our large load tariff. This includes both the Extraordinary Facilities Agreement and the rate agreement." CMS describes its framework as "one of the most constructive frameworks in the country for data center growth." </w:t>
      </w:r>
    </w:p>
    <w:p>
      <w:pPr>
        <w:pStyle w:val="ListBullet"/>
        <w:ind w:left="360" w:hanging="360"/>
      </w:pPr>
      <w:r>
        <w:rPr>
          <w:rFonts w:ascii="Calibri" w:hAnsi="Calibri"/>
          <w:b/>
          <w:color w:val="525866"/>
          <w:sz w:val="22"/>
        </w:rPr>
        <w:t xml:space="preserve">ETR Read-Through: </w:t>
      </w:r>
      <w:r>
        <w:rPr>
          <w:rFonts w:ascii="Calibri" w:hAnsi="Calibri"/>
          <w:color w:val="525866"/>
          <w:sz w:val="22"/>
        </w:rPr>
        <w:t>CMS is still in early stages (awaiting local zoning approval); ETR is multiple steps ahead with signed ESAs and regulatory filings already submitted. ETR's execution advantage is clear.</w:t>
      </w:r>
    </w:p>
    <w:p>
      <w:pPr>
        <w:pStyle w:val="ListBullet"/>
        <w:ind w:left="360" w:hanging="360"/>
      </w:pPr>
      <w:r>
        <w:rPr>
          <w:rFonts w:ascii="Calibri" w:hAnsi="Calibri"/>
          <w:b/>
          <w:color w:val="525866"/>
          <w:sz w:val="22"/>
        </w:rPr>
        <w:t xml:space="preserve">$7.50/month residential bill benefit per GW: </w:t>
      </w:r>
      <w:r>
        <w:rPr>
          <w:rFonts w:ascii="Calibri" w:hAnsi="Calibri"/>
          <w:color w:val="525866"/>
          <w:sz w:val="22"/>
        </w:rPr>
        <w:t xml:space="preserve">"Our average residential electric customer could see approximately $7.50 per month of bill benefit with every gigawatt of new large load." </w:t>
      </w:r>
    </w:p>
    <w:p>
      <w:pPr>
        <w:pStyle w:val="ListBullet"/>
        <w:ind w:left="360" w:hanging="360"/>
      </w:pPr>
      <w:r>
        <w:rPr>
          <w:rFonts w:ascii="Calibri" w:hAnsi="Calibri"/>
          <w:b/>
          <w:color w:val="525866"/>
          <w:sz w:val="22"/>
        </w:rPr>
        <w:t xml:space="preserve">ETR Read-Through: </w:t>
      </w:r>
      <w:r>
        <w:rPr>
          <w:rFonts w:ascii="Calibri" w:hAnsi="Calibri"/>
          <w:color w:val="525866"/>
          <w:sz w:val="22"/>
        </w:rPr>
        <w:t>ETR's $7B Fair Share Plus benefit estimate (including $2B from Meta alone) is consistent with this per-GW math at ETR's scale; validates the customer affordability narrative.</w:t>
      </w:r>
    </w:p>
    <w:p>
      <w:pPr>
        <w:pStyle w:val="ListBullet"/>
        <w:ind w:left="360" w:hanging="360"/>
      </w:pPr>
      <w:r>
        <w:rPr>
          <w:rFonts w:ascii="Calibri" w:hAnsi="Calibri"/>
          <w:b/>
          <w:color w:val="525866"/>
          <w:sz w:val="22"/>
        </w:rPr>
        <w:t xml:space="preserve">IRP filing moved to September to incorporate data center load: </w:t>
      </w:r>
      <w:r>
        <w:rPr>
          <w:rFonts w:ascii="Calibri" w:hAnsi="Calibri"/>
          <w:color w:val="525866"/>
          <w:sz w:val="22"/>
        </w:rPr>
        <w:t xml:space="preserve">"We have moved our IRP filing to September to reflect the recent data center agreement and ensure we are putting the best plan forward for Michigan." </w:t>
      </w:r>
    </w:p>
    <w:p>
      <w:pPr>
        <w:pStyle w:val="ListBullet"/>
        <w:ind w:left="360" w:hanging="360"/>
      </w:pPr>
      <w:r>
        <w:rPr>
          <w:rFonts w:ascii="Calibri" w:hAnsi="Calibri"/>
          <w:b/>
          <w:color w:val="525866"/>
          <w:sz w:val="22"/>
        </w:rPr>
        <w:t xml:space="preserve">ETR Read-Through: </w:t>
      </w:r>
      <w:r>
        <w:rPr>
          <w:rFonts w:ascii="Calibri" w:hAnsi="Calibri"/>
          <w:color w:val="525866"/>
          <w:sz w:val="22"/>
        </w:rPr>
        <w:t>ETR's regulatory filings are already further advanced; the IRP/regulatory filing cycle is a key gating item for peers, while ETR has already secured LPSC Lightning Initiative approval pathways.</w:t>
      </w:r>
    </w:p>
    <w:p>
      <w:pPr>
        <w:pStyle w:val="ListBullet"/>
        <w:ind w:left="360" w:hanging="360"/>
      </w:pPr>
      <w:r>
        <w:rPr>
          <w:rFonts w:ascii="Calibri" w:hAnsi="Calibri"/>
          <w:b/>
          <w:color w:val="525866"/>
          <w:sz w:val="22"/>
        </w:rPr>
        <w:t xml:space="preserve">2–3% sales growth anticipated: </w:t>
      </w:r>
      <w:r>
        <w:rPr>
          <w:rFonts w:ascii="Calibri" w:hAnsi="Calibri"/>
          <w:color w:val="525866"/>
          <w:sz w:val="22"/>
        </w:rPr>
        <w:t xml:space="preserve">CMS expects 2–3% overall sales growth, with 135 MW of manufacturing/industrial load contracted YTD. </w:t>
      </w:r>
    </w:p>
    <w:p>
      <w:pPr>
        <w:pStyle w:val="ListBullet"/>
        <w:ind w:left="360" w:hanging="360"/>
      </w:pPr>
      <w:r>
        <w:rPr>
          <w:rFonts w:ascii="Calibri" w:hAnsi="Calibri"/>
          <w:b/>
          <w:color w:val="525866"/>
          <w:sz w:val="22"/>
        </w:rPr>
        <w:t xml:space="preserve">ETR Read-Through: </w:t>
      </w:r>
      <w:r>
        <w:rPr>
          <w:rFonts w:ascii="Calibri" w:hAnsi="Calibri"/>
          <w:color w:val="525866"/>
          <w:sz w:val="22"/>
        </w:rPr>
        <w:t>ETR's 8.5–9% retail sales growth CAGR (vs. CMS's 2–3%) underscores the magnitude of ETR's Gulf South demand advantage; the comparison highlights why ETR commands a premium valuation.</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Data Center Pipeline / Load Growth</w:t>
            </w:r>
          </w:p>
        </w:tc>
        <w:tc>
          <w:tcPr>
            <w:tcW w:type="dxa" w:w="2160"/>
            <w:shd w:val="clear" w:color="auto" w:fill="3B4259"/>
          </w:tcPr>
          <w:p>
            <w:r>
              <w:rPr>
                <w:rFonts w:ascii="Calibri" w:hAnsi="Calibri"/>
                <w:b/>
                <w:color w:val="FFFFFF"/>
                <w:sz w:val="22"/>
              </w:rPr>
              <w:t>Key ETR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NEE (Q2 2026)</w:t>
            </w:r>
          </w:p>
        </w:tc>
        <w:tc>
          <w:tcPr>
            <w:tcW w:type="dxa" w:w="2160"/>
          </w:tcPr>
          <w:p>
            <w:r>
              <w:rPr>
                <w:rFonts w:ascii="Calibri" w:hAnsi="Calibri"/>
                <w:sz w:val="22"/>
              </w:rPr>
              <w:t>21 GW FPL interest; 12 GW advanced discussions; 30 hubs at Energy Resources; 3.6 GW renewables backlog added in Q2</w:t>
            </w:r>
          </w:p>
        </w:tc>
        <w:tc>
          <w:tcPr>
            <w:tcW w:type="dxa" w:w="2160"/>
          </w:tcPr>
          <w:p>
            <w:r>
              <w:rPr>
                <w:rFonts w:ascii="Calibri" w:hAnsi="Calibri"/>
                <w:sz w:val="22"/>
              </w:rPr>
              <w:t>Demand accelerating nationally; FERC Section 206 creates tailwind for ETR's Fair Share Plus structure</w:t>
            </w:r>
          </w:p>
        </w:tc>
        <w:tc>
          <w:tcPr>
            <w:tcW w:type="dxa" w:w="2160"/>
          </w:tcPr>
          <w:p>
            <w:r>
              <w:rPr>
                <w:rFonts w:ascii="Calibri" w:hAnsi="Calibri"/>
                <w:b/>
                <w:color w:val="30A46C"/>
                <w:sz w:val="22"/>
              </w:rPr>
              <w:t>Positive</w:t>
            </w:r>
          </w:p>
        </w:tc>
      </w:tr>
      <w:tr>
        <w:tc>
          <w:tcPr>
            <w:tcW w:type="dxa" w:w="2160"/>
          </w:tcPr>
          <w:p>
            <w:r>
              <w:rPr>
                <w:rFonts w:ascii="Calibri" w:hAnsi="Calibri"/>
                <w:sz w:val="22"/>
              </w:rPr>
              <w:t>DTE (Q2 2026)</w:t>
            </w:r>
          </w:p>
        </w:tc>
        <w:tc>
          <w:tcPr>
            <w:tcW w:type="dxa" w:w="2160"/>
          </w:tcPr>
          <w:p>
            <w:r>
              <w:rPr>
                <w:rFonts w:ascii="Calibri" w:hAnsi="Calibri"/>
                <w:sz w:val="22"/>
              </w:rPr>
              <w:t>Oracle 1.4 GW (approved, under construction) + Google 1 GW (pending MPSC); 5–6 GW additional pipeline; 2 GW in advanced discussions</w:t>
            </w:r>
          </w:p>
        </w:tc>
        <w:tc>
          <w:tcPr>
            <w:tcW w:type="dxa" w:w="2160"/>
          </w:tcPr>
          <w:p>
            <w:r>
              <w:rPr>
                <w:rFonts w:ascii="Calibri" w:hAnsi="Calibri"/>
                <w:sz w:val="22"/>
              </w:rPr>
              <w:t>3 GW = &gt;8% EPS growth threshold validates ETR's math; credit protection structures are industry standard</w:t>
            </w:r>
          </w:p>
        </w:tc>
        <w:tc>
          <w:tcPr>
            <w:tcW w:type="dxa" w:w="2160"/>
          </w:tcPr>
          <w:p>
            <w:r>
              <w:rPr>
                <w:rFonts w:ascii="Calibri" w:hAnsi="Calibri"/>
                <w:b/>
                <w:color w:val="30A46C"/>
                <w:sz w:val="22"/>
              </w:rPr>
              <w:t>Positive</w:t>
            </w:r>
          </w:p>
        </w:tc>
      </w:tr>
      <w:tr>
        <w:tc>
          <w:tcPr>
            <w:tcW w:type="dxa" w:w="2160"/>
          </w:tcPr>
          <w:p>
            <w:r>
              <w:rPr>
                <w:rFonts w:ascii="Calibri" w:hAnsi="Calibri"/>
                <w:sz w:val="22"/>
              </w:rPr>
              <w:t>CNP (Q2 2026)</w:t>
            </w:r>
          </w:p>
        </w:tc>
        <w:tc>
          <w:tcPr>
            <w:tcW w:type="dxa" w:w="2160"/>
          </w:tcPr>
          <w:p>
            <w:r>
              <w:rPr>
                <w:rFonts w:ascii="Calibri" w:hAnsi="Calibri"/>
                <w:sz w:val="22"/>
              </w:rPr>
              <w:t>17 GW submitted to ERCOT batch zero; 14 GW eligible; 50% load growth by 2029; $1.2B CapEx increase (no new equity)</w:t>
            </w:r>
          </w:p>
        </w:tc>
        <w:tc>
          <w:tcPr>
            <w:tcW w:type="dxa" w:w="2160"/>
          </w:tcPr>
          <w:p>
            <w:r>
              <w:rPr>
                <w:rFonts w:ascii="Calibri" w:hAnsi="Calibri"/>
                <w:sz w:val="22"/>
              </w:rPr>
              <w:t>Gulf South demand is extraordinary and durable; customer savings narrative validated; cash flow ramp from large load is multi-year</w:t>
            </w:r>
          </w:p>
        </w:tc>
        <w:tc>
          <w:tcPr>
            <w:tcW w:type="dxa" w:w="2160"/>
          </w:tcPr>
          <w:p>
            <w:r>
              <w:rPr>
                <w:rFonts w:ascii="Calibri" w:hAnsi="Calibri"/>
                <w:b/>
                <w:color w:val="30A46C"/>
                <w:sz w:val="22"/>
              </w:rPr>
              <w:t>Strongly Positive</w:t>
            </w:r>
          </w:p>
        </w:tc>
      </w:tr>
      <w:tr>
        <w:tc>
          <w:tcPr>
            <w:tcW w:type="dxa" w:w="2160"/>
          </w:tcPr>
          <w:p>
            <w:r>
              <w:rPr>
                <w:rFonts w:ascii="Calibri" w:hAnsi="Calibri"/>
                <w:sz w:val="22"/>
              </w:rPr>
              <w:t>PCG (Q2 2026)</w:t>
            </w:r>
          </w:p>
        </w:tc>
        <w:tc>
          <w:tcPr>
            <w:tcW w:type="dxa" w:w="2160"/>
          </w:tcPr>
          <w:p>
            <w:r>
              <w:rPr>
                <w:rFonts w:ascii="Calibri" w:hAnsi="Calibri"/>
                <w:sz w:val="22"/>
              </w:rPr>
              <w:t>&gt;12 GW pipeline (up from &gt;10 GW); 1.8 GW expected online by 2030; $73B 5-year CapEx plan unchanged</w:t>
            </w:r>
          </w:p>
        </w:tc>
        <w:tc>
          <w:tcPr>
            <w:tcW w:type="dxa" w:w="2160"/>
          </w:tcPr>
          <w:p>
            <w:r>
              <w:rPr>
                <w:rFonts w:ascii="Calibri" w:hAnsi="Calibri"/>
                <w:sz w:val="22"/>
              </w:rPr>
              <w:t>Pricing discipline and rate-reducing frameworks are the regulatory standard; ETR's Fair Share Plus is ahead of the curve</w:t>
            </w:r>
          </w:p>
        </w:tc>
        <w:tc>
          <w:tcPr>
            <w:tcW w:type="dxa" w:w="2160"/>
          </w:tcPr>
          <w:p>
            <w:r>
              <w:rPr>
                <w:rFonts w:ascii="Calibri" w:hAnsi="Calibri"/>
                <w:b/>
                <w:color w:val="30A46C"/>
                <w:sz w:val="22"/>
              </w:rPr>
              <w:t>Positive</w:t>
            </w:r>
          </w:p>
        </w:tc>
      </w:tr>
      <w:tr>
        <w:tc>
          <w:tcPr>
            <w:tcW w:type="dxa" w:w="2160"/>
          </w:tcPr>
          <w:p>
            <w:r>
              <w:rPr>
                <w:rFonts w:ascii="Calibri" w:hAnsi="Calibri"/>
                <w:sz w:val="22"/>
              </w:rPr>
              <w:t>CMS (Q2 2026)</w:t>
            </w:r>
          </w:p>
        </w:tc>
        <w:tc>
          <w:tcPr>
            <w:tcW w:type="dxa" w:w="2160"/>
          </w:tcPr>
          <w:p>
            <w:r>
              <w:rPr>
                <w:rFonts w:ascii="Calibri" w:hAnsi="Calibri"/>
                <w:sz w:val="22"/>
              </w:rPr>
              <w:t>First large load tariff agreement reached; IRP filing moved to September; 2–3% overall sales growth</w:t>
            </w:r>
          </w:p>
        </w:tc>
        <w:tc>
          <w:tcPr>
            <w:tcW w:type="dxa" w:w="2160"/>
          </w:tcPr>
          <w:p>
            <w:r>
              <w:rPr>
                <w:rFonts w:ascii="Calibri" w:hAnsi="Calibri"/>
                <w:sz w:val="22"/>
              </w:rPr>
              <w:t>ETR's 8.5–9% sales growth vs. CMS's 2–3% highlights ETR's Gulf South demand advantage; ETR is multiple steps ahead in pipeline conversion</w:t>
            </w:r>
          </w:p>
        </w:tc>
        <w:tc>
          <w:tcPr>
            <w:tcW w:type="dxa" w:w="2160"/>
          </w:tcPr>
          <w:p>
            <w:r>
              <w:rPr>
                <w:rFonts w:ascii="Calibri" w:hAnsi="Calibri"/>
                <w:b/>
                <w:color w:val="30A46C"/>
                <w:sz w:val="22"/>
              </w:rPr>
              <w:t>Positive (by contrast)</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the two transactions since Q1 earnings are both 10b5-1 planned sales by operating executives (COO and a Section 16 officer), which are pre-scheduled and not discretionary signals — nothing notable from an insider sentiment perspective.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Kimberly Cook-Nelson</w:t>
            </w:r>
          </w:p>
        </w:tc>
        <w:tc>
          <w:tcPr>
            <w:tcW w:type="dxa" w:w="1440"/>
          </w:tcPr>
          <w:p>
            <w:r>
              <w:rPr>
                <w:rFonts w:ascii="Calibri" w:hAnsi="Calibri"/>
                <w:sz w:val="22"/>
              </w:rPr>
              <w:t>EVP &amp; Chief Operating Officer</w:t>
            </w:r>
          </w:p>
        </w:tc>
        <w:tc>
          <w:tcPr>
            <w:tcW w:type="dxa" w:w="1440"/>
          </w:tcPr>
          <w:p>
            <w:r>
              <w:rPr>
                <w:rFonts w:ascii="Calibri" w:hAnsi="Calibri"/>
                <w:sz w:val="22"/>
              </w:rPr>
              <w:t>10b5-1 Planned Sale</w:t>
            </w:r>
          </w:p>
        </w:tc>
        <w:tc>
          <w:tcPr>
            <w:tcW w:type="dxa" w:w="1440"/>
          </w:tcPr>
          <w:p>
            <w:r>
              <w:rPr>
                <w:rFonts w:ascii="Calibri" w:hAnsi="Calibri"/>
                <w:sz w:val="22"/>
              </w:rPr>
              <w:t>5,000 shares</w:t>
            </w:r>
          </w:p>
        </w:tc>
        <w:tc>
          <w:tcPr>
            <w:tcW w:type="dxa" w:w="1440"/>
          </w:tcPr>
          <w:p>
            <w:r>
              <w:rPr>
                <w:rFonts w:ascii="Calibri" w:hAnsi="Calibri"/>
                <w:sz w:val="22"/>
              </w:rPr>
              <w:t>June 25, 2026</w:t>
            </w:r>
          </w:p>
        </w:tc>
        <w:tc>
          <w:tcPr>
            <w:tcW w:type="dxa" w:w="1440"/>
          </w:tcPr>
          <w:p>
            <w:r>
              <w:rPr>
                <w:rFonts w:ascii="Calibri" w:hAnsi="Calibri"/>
                <w:sz w:val="22"/>
              </w:rPr>
              <w:t>Pre-scheduled 10b5-1 plan; not a discretionary signal. Retained 30,770 shares after sale.</w:t>
            </w:r>
          </w:p>
        </w:tc>
      </w:tr>
      <w:tr>
        <w:tc>
          <w:tcPr>
            <w:tcW w:type="dxa" w:w="1440"/>
          </w:tcPr>
          <w:p>
            <w:r>
              <w:rPr>
                <w:rFonts w:ascii="Calibri" w:hAnsi="Calibri"/>
                <w:sz w:val="22"/>
              </w:rPr>
              <w:t>Haley Fisackerly</w:t>
            </w:r>
          </w:p>
        </w:tc>
        <w:tc>
          <w:tcPr>
            <w:tcW w:type="dxa" w:w="1440"/>
          </w:tcPr>
          <w:p>
            <w:r>
              <w:rPr>
                <w:rFonts w:ascii="Calibri" w:hAnsi="Calibri"/>
                <w:sz w:val="22"/>
              </w:rPr>
              <w:t>Officer (Section 16 Rules)</w:t>
            </w:r>
          </w:p>
        </w:tc>
        <w:tc>
          <w:tcPr>
            <w:tcW w:type="dxa" w:w="1440"/>
          </w:tcPr>
          <w:p>
            <w:r>
              <w:rPr>
                <w:rFonts w:ascii="Calibri" w:hAnsi="Calibri"/>
                <w:sz w:val="22"/>
              </w:rPr>
              <w:t>10b5-1 Planned Sale</w:t>
            </w:r>
          </w:p>
        </w:tc>
        <w:tc>
          <w:tcPr>
            <w:tcW w:type="dxa" w:w="1440"/>
          </w:tcPr>
          <w:p>
            <w:r>
              <w:rPr>
                <w:rFonts w:ascii="Calibri" w:hAnsi="Calibri"/>
                <w:sz w:val="22"/>
              </w:rPr>
              <w:t>10,638 shares</w:t>
            </w:r>
          </w:p>
        </w:tc>
        <w:tc>
          <w:tcPr>
            <w:tcW w:type="dxa" w:w="1440"/>
          </w:tcPr>
          <w:p>
            <w:r>
              <w:rPr>
                <w:rFonts w:ascii="Calibri" w:hAnsi="Calibri"/>
                <w:sz w:val="22"/>
              </w:rPr>
              <w:t>June 3, 2026</w:t>
            </w:r>
          </w:p>
        </w:tc>
        <w:tc>
          <w:tcPr>
            <w:tcW w:type="dxa" w:w="1440"/>
          </w:tcPr>
          <w:p>
            <w:r>
              <w:rPr>
                <w:rFonts w:ascii="Calibri" w:hAnsi="Calibri"/>
                <w:sz w:val="22"/>
              </w:rPr>
              <w:t>Pre-scheduled 10b5-1 plan; not a discretionary signal. Retained 14,182 shares after sale.</w:t>
            </w:r>
          </w:p>
        </w:tc>
      </w:tr>
    </w:tbl>
    <w:p>
      <w:r>
        <w:rPr>
          <w:rFonts w:ascii="Calibri" w:hAnsi="Calibri"/>
          <w:i/>
          <w:color w:val="525866"/>
          <w:sz w:val="22"/>
        </w:rPr>
        <w:t>Both transactions are pre-scheduled 10b5-1 planned sales filed in June 2026. There are no open-market purchases or discretionary sales in the period since Q1 earnings (April 29, 2026). The absence of insider buying is not unusual for a utility in a heavy capital deployment phase where management compensation is primarily equity-based. Source: Insider Transaction Data (SEC Form 4 Filings).</w:t>
      </w:r>
    </w:p>
    <w:p>
      <w:r>
        <w:br w:type="page"/>
      </w:r>
    </w:p>
    <w:p>
      <w:pPr>
        <w:pStyle w:val="Heading2"/>
      </w:pPr>
      <w:r>
        <w:rPr>
          <w:rFonts w:ascii="Calibri" w:hAnsi="Calibri"/>
          <w:b/>
          <w:color w:val="3B4259"/>
          <w:sz w:val="28"/>
        </w:rPr>
        <w:t>Disclosures &amp; Sources</w:t>
      </w:r>
    </w:p>
    <w:p>
      <w:pPr>
        <w:pStyle w:val="ListBullet"/>
        <w:ind w:left="360" w:hanging="360"/>
      </w:pPr>
      <w:r>
        <w:rPr>
          <w:rFonts w:ascii="Calibri" w:hAnsi="Calibri"/>
          <w:b/>
          <w:color w:val="525866"/>
          <w:sz w:val="22"/>
        </w:rPr>
        <w:t xml:space="preserve">Consensus and actuals data: </w:t>
      </w:r>
      <w:r>
        <w:rPr>
          <w:rFonts w:ascii="Calibri" w:hAnsi="Calibri"/>
          <w:color w:val="525866"/>
          <w:sz w:val="22"/>
        </w:rPr>
        <w:t>Visible Alpha Consensus and Actuals Data (as of July 28, 2026).</w:t>
      </w:r>
    </w:p>
    <w:p>
      <w:pPr>
        <w:pStyle w:val="ListBullet"/>
        <w:ind w:left="360" w:hanging="360"/>
      </w:pPr>
      <w:r>
        <w:rPr>
          <w:rFonts w:ascii="Calibri" w:hAnsi="Calibri"/>
          <w:b/>
          <w:color w:val="525866"/>
          <w:sz w:val="22"/>
        </w:rPr>
        <w:t xml:space="preserve">Company filings: </w:t>
      </w:r>
      <w:r>
        <w:rPr>
          <w:rFonts w:ascii="Calibri" w:hAnsi="Calibri"/>
          <w:color w:val="525866"/>
          <w:sz w:val="22"/>
        </w:rPr>
        <w:t>Entergy Q1 2026 Earnings Release (April 29, 2026); Q1 2026 Earnings Call Transcript (April 29, 2026); Investor Day Transcript (June 9, 2026); 8-K filings (May 7, May 12, June 22–23, 2026).</w:t>
      </w:r>
    </w:p>
    <w:p>
      <w:pPr>
        <w:pStyle w:val="ListBullet"/>
        <w:ind w:left="360" w:hanging="360"/>
      </w:pPr>
      <w:r>
        <w:rPr>
          <w:rFonts w:ascii="Calibri" w:hAnsi="Calibri"/>
          <w:b/>
          <w:color w:val="525866"/>
          <w:sz w:val="22"/>
        </w:rPr>
        <w:t xml:space="preserve">Peer transcripts: </w:t>
      </w:r>
      <w:r>
        <w:rPr>
          <w:rFonts w:ascii="Calibri" w:hAnsi="Calibri"/>
          <w:color w:val="525866"/>
          <w:sz w:val="22"/>
        </w:rPr>
        <w:t>NEE Q2 2026 Earnings Call (July 24, 2026); DTE Q2 2026 Earnings Call (July 28, 2026); CNP Q2 2026 Earnings Call (July 28, 2026); PCG Q2 2026 Earnings Call (July 23, 2026); CMS Q2 2026 Earnings Call (July 28, 2026).</w:t>
      </w:r>
    </w:p>
    <w:p>
      <w:pPr>
        <w:pStyle w:val="ListBullet"/>
        <w:ind w:left="360" w:hanging="360"/>
      </w:pPr>
      <w:r>
        <w:rPr>
          <w:rFonts w:ascii="Calibri" w:hAnsi="Calibri"/>
          <w:b/>
          <w:color w:val="525866"/>
          <w:sz w:val="22"/>
        </w:rPr>
        <w:t xml:space="preserve">Stock price data: </w:t>
      </w:r>
      <w:r>
        <w:rPr>
          <w:rFonts w:ascii="Calibri" w:hAnsi="Calibri"/>
          <w:color w:val="525866"/>
          <w:sz w:val="22"/>
        </w:rPr>
        <w:t>Stock Price Data (Yahoo Finance). ETR, XLU, SPY closing prices April 28 – July 28, 2026.</w:t>
      </w:r>
    </w:p>
    <w:p>
      <w:pPr>
        <w:pStyle w:val="ListBullet"/>
        <w:ind w:left="360" w:hanging="360"/>
      </w:pPr>
      <w:r>
        <w:rPr>
          <w:rFonts w:ascii="Calibri" w:hAnsi="Calibri"/>
          <w:b/>
          <w:color w:val="525866"/>
          <w:sz w:val="22"/>
        </w:rPr>
        <w:t xml:space="preserve">Insider transactions: </w:t>
      </w:r>
      <w:r>
        <w:rPr>
          <w:rFonts w:ascii="Calibri" w:hAnsi="Calibri"/>
          <w:color w:val="525866"/>
          <w:sz w:val="22"/>
        </w:rPr>
        <w:t>Insider Transaction Data (SEC Form 4 Filings Database). Window: April 29 – July 28, 2026.</w:t>
      </w:r>
    </w:p>
    <w:p>
      <w:pPr>
        <w:pStyle w:val="ListBullet"/>
        <w:ind w:left="360" w:hanging="360"/>
      </w:pPr>
      <w:r>
        <w:rPr>
          <w:rFonts w:ascii="Calibri" w:hAnsi="Calibri"/>
          <w:i/>
          <w:color w:val="525866"/>
          <w:sz w:val="22"/>
        </w:rPr>
        <w:t>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