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c-earnings-predictions--2026-07-30"/>
    <w:p>
      <w:pPr>
        <w:pStyle w:val="Heading1"/>
      </w:pPr>
      <w:r>
        <w:t xml:space="preserve">EXC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adj.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~$0.44 vs. cons $0.43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H2 E EPS run-rate (seasonal glidepath)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1.35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47</m:t>
              </m:r>
            </m:oMath>
            <w:r>
              <w:t xml:space="preserve">1.34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2.81</m:t>
              </m:r>
              <m:r>
                <m:rPr>
                  <m:sty m:val="p"/>
                </m:rPr>
                <m:t>–</m:t>
              </m:r>
            </m:oMath>
            <w:r>
              <w:t xml:space="preserve">2.91 (mid</w:t>
            </w:r>
            <w:r>
              <w:t xml:space="preserve"> </w:t>
            </w:r>
            <m:oMath>
              <m:r>
                <m:t>2.86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top-half of 5–7% (~6.5%) vs. cons ~6% (2025–2029)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plan / rate-base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41.7</m:t>
              </m:r>
              <m:r>
                <m:t>B</m:t>
              </m:r>
              <m:r>
                <m:t>p</m:t>
              </m:r>
              <m:r>
                <m:t>l</m:t>
              </m:r>
              <m:r>
                <m:t>a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 </m:t>
              </m:r>
              <m:r>
                <m:t>7.9</m:t>
              </m:r>
            </m:oMath>
            <w:r>
              <w:t xml:space="preserve">41.7B/~7.9% (2026–2029)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Pennsylvania (PECO) rate-case refiling / ROE-equity-layer risk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refiling timing TBD, ROE risk vs. cons ~9.5% ROE assumed (2026–2027)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Maryland Pepco base-rate order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on</w:t>
            </w:r>
            <w:r>
              <w:t xml:space="preserve"> </w:t>
            </w:r>
            <m:oMath>
              <m:r>
                <m:t>119.9</m:t>
              </m:r>
              <m:r>
                <m:t>M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e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o</m:t>
              </m:r>
              <m:r>
                <m:t>r</m:t>
              </m:r>
              <m:r>
                <m:t>d</m:t>
              </m:r>
              <m:r>
                <m:t>e</m:t>
              </m:r>
              <m:r>
                <m:t>r</m:t>
              </m:r>
              <m:r>
                <m:t>d</m:t>
              </m:r>
              <m:r>
                <m:t>u</m:t>
              </m:r>
              <m:r>
                <m:t>e</m:t>
              </m:r>
              <m:r>
                <m:t>A</m:t>
              </m:r>
              <m:r>
                <m:t>u</m:t>
              </m:r>
              <m:r>
                <m:t>g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p</m:t>
              </m:r>
              <m:r>
                <m:t>a</m:t>
              </m:r>
              <m:r>
                <m:t>r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a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70–90M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(STABILIZE)</w:t>
            </w:r>
          </w:p>
        </w:tc>
        <w:tc>
          <w:tcPr/>
          <w:p>
            <w:pPr>
              <w:pStyle w:val="Compact"/>
            </w:pPr>
            <w:r>
              <w:t xml:space="preserve">Seasonally tiny quarter with an in-line EPS and a clean reaffirmation of FY26</w:t>
            </w:r>
            <w:r>
              <w:t xml:space="preserve"> </w:t>
            </w:r>
            <m:oMath>
              <m:r>
                <m:t>2.81</m:t>
              </m:r>
              <m:r>
                <m:rPr>
                  <m:sty m:val="p"/>
                </m:rPr>
                <m:t>–</m:t>
              </m:r>
            </m:oMath>
            <w:r>
              <w:t xml:space="preserve">2.91 leaves out-period estimates essentially unchanged — no revision engine either way. Low-beta, decoupling-heavy name trades on the PA/MD affordability-regulatory narrative, not the print; residual drift is modest and mean-reverting. Mild negative skew from PA (PECO ROE/equity-layer and credit) and any soft Pepco MD signal caps upside, so the small day-1 dip largely holds rather than compounds — stabilize near flat.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2026-07-29T18:51:35Z</dcterms:created>
  <dcterms:modified xsi:type="dcterms:W3CDTF">2026-07-29T18:51:35Z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