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EXC before writing the preview. Let me gather recent filings, transcripts, guidance, and news.Let me read the most recent earnings materials (Q1 2026 release and call) plus recent news.I have strong detail from Q1 2026. Now let me get recent news and stock performance heading into the print.Let me get the year-ago Q2 2025 results as the comparison base, and check for recent public news.I have comprehensive data. Let me do a quick check for consensus estimates and any late-breaking catalysts.I now have what I need. Let me quickly compute performance stats, then write the preview.Now I have everything needed to write the preview.</w:t>
      </w:r>
    </w:p>
    <w:bookmarkStart w:id="18" w:name="X8a358e5903e61e549bab6cf8d6532028554d955"/>
    <w:p>
      <w:pPr>
        <w:pStyle w:val="Heading1"/>
      </w:pPr>
      <w:r>
        <w:t xml:space="preserve">Exelon Corporation (EXC) — Q2 2026 Earnings Preview</w:t>
      </w:r>
    </w:p>
    <w:bookmarkStart w:id="9" w:name="Xb73ff1aa4ef66d6a5db85ddd65799a928ad9f8d"/>
    <w:p>
      <w:pPr>
        <w:pStyle w:val="Heading3"/>
      </w:pPr>
      <w:r>
        <w:t xml:space="preserve">Report date: Thursday, July 30, 2026 (before market open) | Conference call 10:00 a.m. ET</w:t>
      </w:r>
    </w:p>
    <w:p>
      <w:r>
        <w:pict>
          <v:rect style="width:0;height:1.5pt" o:hralign="center" o:hrstd="t" o:hr="t"/>
        </w:pict>
      </w:r>
    </w:p>
    <w:bookmarkEnd w:id="9"/>
    <w:bookmarkStart w:id="10" w:name="the-one-line-setup"/>
    <w:p>
      <w:pPr>
        <w:pStyle w:val="Heading2"/>
      </w:pPr>
      <w:r>
        <w:t xml:space="preserve">The one-line setup</w:t>
      </w:r>
    </w:p>
    <w:p>
      <w:pPr>
        <w:pStyle w:val="FirstParagraph"/>
      </w:pPr>
      <w:r>
        <w:t xml:space="preserve">Exelon is a "boring-is-beautiful" pure-play regulated T&amp;D utility whose Q2 print itself is almost a non-event — the real story is whether management can keep reaffirming its growth algorithm while navigating an increasingly hostile affordability/regulatory backdrop, most acutely in</w:t>
      </w:r>
      <w:r>
        <w:t xml:space="preserve"> </w:t>
      </w:r>
      <w:r>
        <w:rPr>
          <w:b/>
          <w:bCs/>
        </w:rPr>
        <w:t xml:space="preserve">Pennsylvania</w:t>
      </w:r>
      <w:r>
        <w:t xml:space="preserve"> </w:t>
      </w:r>
      <w:r>
        <w:t xml:space="preserve">and</w:t>
      </w:r>
      <w:r>
        <w:t xml:space="preserve"> </w:t>
      </w:r>
      <w:r>
        <w:rPr>
          <w:b/>
          <w:bCs/>
        </w:rPr>
        <w:t xml:space="preserve">Maryland</w:t>
      </w:r>
      <w:r>
        <w:t xml:space="preserve">. Q2 is seasonally the smallest quarter of the year, so the guidance reaffirmation, capital-plan durability, and regulatory commentary will matter far more than the headline EPS.</w:t>
      </w:r>
    </w:p>
    <w:p>
      <w:r>
        <w:pict>
          <v:rect style="width:0;height:1.5pt" o:hralign="center" o:hrstd="t" o:hr="t"/>
        </w:pict>
      </w:r>
    </w:p>
    <w:bookmarkEnd w:id="10"/>
    <w:bookmarkStart w:id="11" w:name="what-the-street-expects"/>
    <w:p>
      <w:pPr>
        <w:pStyle w:val="Heading2"/>
      </w:pPr>
      <w:r>
        <w:t xml:space="preserve">What the Street expects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pPr>
            <w:r>
              <w:t xml:space="preserve">Expectation</w:t>
            </w:r>
          </w:p>
        </w:tc>
      </w:tr>
      <w:tr>
        <w:tc>
          <w:tcPr/>
          <w:p>
            <w:pPr>
              <w:pStyle w:val="Compact"/>
            </w:pPr>
            <w:r>
              <w:t xml:space="preserve">Q2 2026 adjusted EPS consensus</w:t>
            </w:r>
          </w:p>
        </w:tc>
        <w:tc>
          <w:tcPr/>
          <w:p>
            <w:pPr>
              <w:pStyle w:val="Compact"/>
            </w:pPr>
            <w:r>
              <w:t xml:space="preserve">~</w:t>
            </w:r>
            <m:oMath>
              <m:r>
                <m:t>0.43</m:t>
              </m:r>
              <m:r>
                <m:rPr>
                  <m:sty m:val="p"/>
                </m:rPr>
                <m:t>(</m:t>
              </m:r>
              <m:r>
                <m:t>d</m:t>
              </m:r>
              <m:r>
                <m:t>i</m:t>
              </m:r>
              <m:r>
                <m:t>s</m:t>
              </m:r>
              <m:r>
                <m:t>p</m:t>
              </m:r>
              <m:r>
                <m:t>e</m:t>
              </m:r>
              <m:r>
                <m:t>r</m:t>
              </m:r>
              <m:r>
                <m:t>s</m:t>
              </m:r>
              <m:r>
                <m:t>i</m:t>
              </m:r>
              <m:r>
                <m:t>o</m:t>
              </m:r>
              <m:r>
                <m:t>n</m:t>
              </m:r>
              <m:r>
                <m:t> </m:t>
              </m:r>
            </m:oMath>
            <w:r>
              <w:t xml:space="preserve">0.42–$0.57 across ~18 analysts)</w:t>
            </w:r>
          </w:p>
        </w:tc>
      </w:tr>
      <w:tr>
        <w:tc>
          <w:tcPr/>
          <w:p>
            <w:pPr>
              <w:pStyle w:val="Compact"/>
            </w:pPr>
            <w:r>
              <w:t xml:space="preserve">Year-ago Q2 2025 adjusted EPS</w:t>
            </w:r>
          </w:p>
        </w:tc>
        <w:tc>
          <w:tcPr/>
          <w:p>
            <w:pPr>
              <w:pStyle w:val="Compact"/>
            </w:pPr>
            <w:r>
              <w:t xml:space="preserve">$0.39</w:t>
            </w:r>
          </w:p>
        </w:tc>
      </w:tr>
      <w:tr>
        <w:tc>
          <w:tcPr/>
          <w:p>
            <w:pPr>
              <w:pStyle w:val="Compact"/>
            </w:pPr>
            <w:r>
              <w:t xml:space="preserve">Implied YoY growth</w:t>
            </w:r>
          </w:p>
        </w:tc>
        <w:tc>
          <w:tcPr/>
          <w:p>
            <w:pPr>
              <w:pStyle w:val="Compact"/>
            </w:pPr>
            <w:r>
              <w:t xml:space="preserve">~+10%</w:t>
            </w:r>
          </w:p>
        </w:tc>
      </w:tr>
      <w:tr>
        <w:tc>
          <w:tcPr/>
          <w:p>
            <w:pPr>
              <w:pStyle w:val="Compact"/>
            </w:pPr>
            <w:r>
              <w:t xml:space="preserve">Management's own Q1-call guide</w:t>
            </w:r>
          </w:p>
        </w:tc>
        <w:tc>
          <w:tcPr/>
          <w:p>
            <w:pPr>
              <w:pStyle w:val="Compact"/>
            </w:pPr>
            <w:r>
              <w:t xml:space="preserve">Q2 ≈</w:t>
            </w:r>
            <w:r>
              <w:t xml:space="preserve"> </w:t>
            </w:r>
            <w:r>
              <w:rPr>
                <w:b/>
                <w:bCs/>
              </w:rPr>
              <w:t xml:space="preserve">15% of FY midpoint</w:t>
            </w:r>
            <w:r>
              <w:t xml:space="preserve"> </w:t>
            </w:r>
            <w:r>
              <w:t xml:space="preserve">(</w:t>
            </w:r>
            <m:oMath>
              <m:r>
                <m:t>2.86</m:t>
              </m:r>
              <m:r>
                <m:rPr>
                  <m:sty m:val="p"/>
                </m:rPr>
                <m:t>)</m:t>
              </m:r>
              <m:r>
                <m:rPr>
                  <m:sty m:val="p"/>
                </m:rPr>
                <m:t>→</m:t>
              </m:r>
              <m:r>
                <m:t> </m:t>
              </m:r>
              <m:r>
                <m:rPr>
                  <m:sty m:val="p"/>
                </m:rPr>
                <m:t>*</m:t>
              </m:r>
              <m:r>
                <m:rPr>
                  <m:sty m:val="p"/>
                </m:rPr>
                <m:t>*</m:t>
              </m:r>
            </m:oMath>
            <w:r>
              <w:t xml:space="preserve">0.43**</w:t>
            </w:r>
          </w:p>
        </w:tc>
      </w:tr>
      <w:tr>
        <w:tc>
          <w:tcPr/>
          <w:p>
            <w:pPr>
              <w:pStyle w:val="Compact"/>
            </w:pPr>
            <w:r>
              <w:t xml:space="preserve">FY2026 adjusted guidance</w:t>
            </w:r>
          </w:p>
        </w:tc>
        <w:tc>
          <w:tcPr/>
          <w:p>
            <w:pPr>
              <w:pStyle w:val="Compact"/>
            </w:pPr>
            <m:oMath>
              <m:r>
                <m:t>2.81</m:t>
              </m:r>
              <m:r>
                <m:rPr>
                  <m:sty m:val="p"/>
                </m:rPr>
                <m:t>–</m:t>
              </m:r>
            </m:oMath>
            <w:r>
              <w:rPr>
                <w:b/>
                <w:bCs/>
              </w:rPr>
              <w:t xml:space="preserve">2.91</w:t>
            </w:r>
            <w:r>
              <w:t xml:space="preserve">, "midpoint or better"</w:t>
            </w:r>
          </w:p>
        </w:tc>
      </w:tr>
    </w:tbl>
    <w:p>
      <w:pPr>
        <w:pStyle w:val="BodyText"/>
      </w:pPr>
      <w:r>
        <w:t xml:space="preserve">Note the modeling quirk: on the Q1 call management explicitly guided Q2 to ~15% of the full-year midpoint and said H1 should land at ~47% of full-year earnings, consistent with prior-year seasonal shaping. That effectively pins a "clean" Q2 near **</w:t>
      </w:r>
      <m:oMath>
        <m:r>
          <m:t>0.43</m:t>
        </m:r>
        <m:r>
          <m:rPr>
            <m:sty m:val="p"/>
          </m:rPr>
          <m:t>*</m:t>
        </m:r>
        <m:r>
          <m:rPr>
            <m:sty m:val="p"/>
          </m:rPr>
          <m:t>*</m:t>
        </m:r>
        <m:r>
          <m:rPr>
            <m:sty m:val="p"/>
          </m:rPr>
          <m:t>,</m:t>
        </m:r>
        <m:r>
          <m:t>s</m:t>
        </m:r>
        <m:r>
          <m:t>o</m:t>
        </m:r>
        <m:sSup>
          <m:e>
            <m:r>
              <m:t>I</m:t>
            </m:r>
          </m:e>
          <m:sup>
            <m:r>
              <m:rPr>
                <m:sty m:val="p"/>
              </m:rPr>
              <m:t>′</m:t>
            </m:r>
          </m:sup>
        </m:sSup>
        <m:r>
          <m:t>d</m:t>
        </m:r>
        <m:r>
          <m:t>t</m:t>
        </m:r>
        <m:r>
          <m:t>r</m:t>
        </m:r>
        <m:r>
          <m:t>e</m:t>
        </m:r>
        <m:r>
          <m:t>a</m:t>
        </m:r>
        <m:r>
          <m:t>t</m:t>
        </m:r>
        <m:r>
          <m:t>t</m:t>
        </m:r>
        <m:r>
          <m:t>h</m:t>
        </m:r>
        <m:r>
          <m:t>e</m:t>
        </m:r>
        <m:r>
          <m:t>h</m:t>
        </m:r>
        <m:r>
          <m:t>i</m:t>
        </m:r>
        <m:r>
          <m:t>g</m:t>
        </m:r>
        <m:r>
          <m:t>h</m:t>
        </m:r>
        <m:r>
          <m:t>e</m:t>
        </m:r>
        <m:r>
          <m:t>r</m:t>
        </m:r>
        <m:r>
          <m:t> </m:t>
        </m:r>
      </m:oMath>
      <w:r>
        <w:t xml:space="preserve">0.54 estimates floating around as stale. A beat, if it comes, is most likely weather- and timing-driven rather than a signal of underlying acceleration — and management will say so.</w:t>
      </w:r>
    </w:p>
    <w:p>
      <w:pPr>
        <w:pStyle w:val="BodyText"/>
      </w:pPr>
      <w:r>
        <w:rPr>
          <w:b/>
          <w:bCs/>
        </w:rPr>
        <w:t xml:space="preserve">Watch the H1 run-rate math:</w:t>
      </w:r>
      <w:r>
        <w:t xml:space="preserve"> </w:t>
      </w:r>
      <w:r>
        <w:t xml:space="preserve">Q1 came in at</w:t>
      </w:r>
      <w:r>
        <w:t xml:space="preserve"> </w:t>
      </w:r>
      <m:oMath>
        <m:r>
          <m:t>0.91</m:t>
        </m:r>
        <m:r>
          <m:rPr>
            <m:sty m:val="p"/>
          </m:rPr>
          <m:t>(</m:t>
        </m:r>
        <m:r>
          <m:t>s</m:t>
        </m:r>
        <m:r>
          <m:t>l</m:t>
        </m:r>
        <m:r>
          <m:t>i</m:t>
        </m:r>
        <m:r>
          <m:t>g</m:t>
        </m:r>
        <m:r>
          <m:t>h</m:t>
        </m:r>
        <m:r>
          <m:t>t</m:t>
        </m:r>
        <m:r>
          <m:t>l</m:t>
        </m:r>
        <m:r>
          <m:t>y</m:t>
        </m:r>
        <m:r>
          <m:t>a</m:t>
        </m:r>
        <m:r>
          <m:t>h</m:t>
        </m:r>
        <m:r>
          <m:t>e</m:t>
        </m:r>
        <m:r>
          <m:t>a</m:t>
        </m:r>
        <m:r>
          <m:t>d</m:t>
        </m:r>
        <m:r>
          <m:t>o</m:t>
        </m:r>
        <m:r>
          <m:t>n</m:t>
        </m:r>
        <m:r>
          <m:t>f</m:t>
        </m:r>
        <m:r>
          <m:t>a</m:t>
        </m:r>
        <m:r>
          <m:t>v</m:t>
        </m:r>
        <m:r>
          <m:t>o</m:t>
        </m:r>
        <m:r>
          <m:t>r</m:t>
        </m:r>
        <m:r>
          <m:t>a</m:t>
        </m:r>
        <m:r>
          <m:t>b</m:t>
        </m:r>
        <m:r>
          <m:t>l</m:t>
        </m:r>
        <m:r>
          <m:t>e</m:t>
        </m:r>
        <m:r>
          <m:t>w</m:t>
        </m:r>
        <m:r>
          <m:t>e</m:t>
        </m:r>
        <m:r>
          <m:t>a</m:t>
        </m:r>
        <m:r>
          <m:t>t</m:t>
        </m:r>
        <m:r>
          <m:t>h</m:t>
        </m:r>
        <m:r>
          <m:t>e</m:t>
        </m:r>
        <m:r>
          <m:t>r</m:t>
        </m:r>
        <m:r>
          <m:rPr>
            <m:sty m:val="p"/>
          </m:rPr>
          <m:t>/</m:t>
        </m:r>
        <m:r>
          <m:t>t</m:t>
        </m:r>
        <m:r>
          <m:t>i</m:t>
        </m:r>
        <m:r>
          <m:t>m</m:t>
        </m:r>
        <m:r>
          <m:t>i</m:t>
        </m:r>
        <m:r>
          <m:t>n</m:t>
        </m:r>
        <m:r>
          <m:t>g</m:t>
        </m:r>
        <m:r>
          <m:rPr>
            <m:sty m:val="p"/>
          </m:rPr>
          <m:t>)</m:t>
        </m:r>
        <m:r>
          <m:rPr>
            <m:sty m:val="p"/>
          </m:rPr>
          <m:t>.</m:t>
        </m:r>
        <m:r>
          <m:t>A</m:t>
        </m:r>
        <m:r>
          <m:t>d</m:t>
        </m:r>
        <m:r>
          <m:t>d</m:t>
        </m:r>
        <m:r>
          <m:t>i</m:t>
        </m:r>
        <m:r>
          <m:t>n</m:t>
        </m:r>
        <m:r>
          <m:t>g</m:t>
        </m:r>
        <m:r>
          <m:t>a</m:t>
        </m:r>
        <m:r>
          <m:t>n</m:t>
        </m:r>
        <m:r>
          <m:t>o</m:t>
        </m:r>
        <m:r>
          <m:t>r</m:t>
        </m:r>
        <m:r>
          <m:t>m</m:t>
        </m:r>
        <m:r>
          <m:t>a</m:t>
        </m:r>
        <m:r>
          <m:t>l</m:t>
        </m:r>
        <m:r>
          <m:rPr>
            <m:sty m:val="p"/>
          </m:rPr>
          <m:t>−</m:t>
        </m:r>
        <m:r>
          <m:t>w</m:t>
        </m:r>
        <m:r>
          <m:t>e</m:t>
        </m:r>
        <m:r>
          <m:t>a</m:t>
        </m:r>
        <m:r>
          <m:t>t</m:t>
        </m:r>
        <m:r>
          <m:t>h</m:t>
        </m:r>
        <m:r>
          <m:t>e</m:t>
        </m:r>
        <m:r>
          <m:t>r</m:t>
        </m:r>
        <m:r>
          <m:t> </m:t>
        </m:r>
      </m:oMath>
      <w:r>
        <w:t xml:space="preserve">0.43 Q2 gets you to roughly $1.34, i.e. ~47% of the midpoint — exactly on the seasonal glidepath. Anything materially above/below that reframes the full-year narrative.</w:t>
      </w:r>
    </w:p>
    <w:p>
      <w:r>
        <w:pict>
          <v:rect style="width:0;height:1.5pt" o:hralign="center" o:hrstd="t" o:hr="t"/>
        </w:pict>
      </w:r>
    </w:p>
    <w:bookmarkEnd w:id="11"/>
    <w:bookmarkStart w:id="12" w:name="X1f83a24f777129e75ebee97a4434ce3fa36b990"/>
    <w:p>
      <w:pPr>
        <w:pStyle w:val="Heading2"/>
      </w:pPr>
      <w:r>
        <w:t xml:space="preserve">The framework going in (from the Q1 2026 call)</w:t>
      </w:r>
    </w:p>
    <w:p>
      <w:pPr>
        <w:pStyle w:val="FirstParagraph"/>
      </w:pPr>
      <w:r>
        <w:t xml:space="preserve">Exelon reshaped its plan in May, and Q2 is the first check-in on execution:</w:t>
      </w:r>
    </w:p>
    <w:p>
      <w:pPr>
        <w:pStyle w:val="Compact"/>
        <w:numPr>
          <w:ilvl w:val="0"/>
          <w:numId w:val="1001"/>
        </w:numPr>
      </w:pPr>
      <w:r>
        <w:rPr>
          <w:b/>
          <w:bCs/>
        </w:rPr>
        <w:t xml:space="preserve">Reaffirmed FY26</w:t>
      </w:r>
      <w:r>
        <w:rPr>
          <w:b/>
          <w:bCs/>
        </w:rPr>
        <w:t xml:space="preserve"> </w:t>
      </w:r>
      <m:oMath>
        <m:r>
          <m:t>2.81</m:t>
        </m:r>
        <m:r>
          <m:rPr>
            <m:sty m:val="p"/>
          </m:rPr>
          <m:t>–</m:t>
        </m:r>
      </m:oMath>
      <w:r>
        <w:rPr>
          <w:b/>
          <w:bCs/>
        </w:rPr>
        <w:t xml:space="preserve">2.91</w:t>
      </w:r>
      <w:r>
        <w:t xml:space="preserve"> </w:t>
      </w:r>
      <w:r>
        <w:t xml:space="preserve">and</w:t>
      </w:r>
      <w:r>
        <w:t xml:space="preserve"> </w:t>
      </w:r>
      <w:r>
        <w:rPr>
          <w:b/>
          <w:bCs/>
        </w:rPr>
        <w:t xml:space="preserve">long-term EPS CAGR near the top end of 5–7% through 2029.</w:t>
      </w:r>
    </w:p>
    <w:p>
      <w:pPr>
        <w:pStyle w:val="Compact"/>
        <w:numPr>
          <w:ilvl w:val="0"/>
          <w:numId w:val="1001"/>
        </w:numPr>
      </w:pPr>
      <w:r>
        <w:t xml:space="preserve">**</w:t>
      </w:r>
      <m:oMath>
        <m:r>
          <m:t>41.7</m:t>
        </m:r>
        <m:r>
          <m:t>B</m:t>
        </m:r>
        <m:r>
          <m:t>f</m:t>
        </m:r>
        <m:r>
          <m:t>o</m:t>
        </m:r>
        <m:r>
          <m:t>u</m:t>
        </m:r>
        <m:r>
          <m:t>r</m:t>
        </m:r>
        <m:r>
          <m:rPr>
            <m:sty m:val="p"/>
          </m:rPr>
          <m:t>−</m:t>
        </m:r>
        <m:r>
          <m:t>y</m:t>
        </m:r>
        <m:r>
          <m:t>e</m:t>
        </m:r>
        <m:r>
          <m:t>a</m:t>
        </m:r>
        <m:r>
          <m:t>r</m:t>
        </m:r>
        <m:r>
          <m:t>c</m:t>
        </m:r>
        <m:r>
          <m:t>a</m:t>
        </m:r>
        <m:r>
          <m:t>p</m:t>
        </m:r>
        <m:r>
          <m:t>i</m:t>
        </m:r>
        <m:r>
          <m:t>t</m:t>
        </m:r>
        <m:r>
          <m:t>a</m:t>
        </m:r>
        <m:r>
          <m:t>l</m:t>
        </m:r>
        <m:r>
          <m:t>p</m:t>
        </m:r>
        <m:r>
          <m:t>l</m:t>
        </m:r>
        <m:r>
          <m:t>a</m:t>
        </m:r>
        <m:r>
          <m:t>n</m:t>
        </m:r>
        <m:r>
          <m:rPr>
            <m:sty m:val="p"/>
          </m:rPr>
          <m:t>→</m:t>
        </m:r>
        <m:r>
          <m:t>7.9</m:t>
        </m:r>
      </m:oMath>
      <w:r>
        <w:t xml:space="preserve">1.1B of PECO/BGE distribution deferrals into ~$1.5B of incremental transmission.</w:t>
      </w:r>
    </w:p>
    <w:p>
      <w:pPr>
        <w:pStyle w:val="Compact"/>
        <w:numPr>
          <w:ilvl w:val="0"/>
          <w:numId w:val="1001"/>
        </w:numPr>
      </w:pPr>
      <w:r>
        <w:rPr>
          <w:b/>
          <w:bCs/>
        </w:rPr>
        <w:t xml:space="preserve">Transmission is the growth engine:</w:t>
      </w:r>
      <w:r>
        <w:t xml:space="preserve"> </w:t>
      </w:r>
      <w:r>
        <w:t xml:space="preserve">rate base guided to grow</w:t>
      </w:r>
      <w:r>
        <w:t xml:space="preserve"> </w:t>
      </w:r>
      <w:r>
        <w:rPr>
          <w:b/>
          <w:bCs/>
        </w:rPr>
        <w:t xml:space="preserve">~16% through 2029</w:t>
      </w:r>
      <w:r>
        <w:t xml:space="preserve">, with an unchanged</w:t>
      </w:r>
      <w:r>
        <w:t xml:space="preserve"> </w:t>
      </w:r>
      <w:r>
        <w:rPr>
          <w:b/>
          <w:bCs/>
        </w:rPr>
        <w:t xml:space="preserve">$12–17B of upside</w:t>
      </w:r>
      <w:r>
        <w:t xml:space="preserve"> </w:t>
      </w:r>
      <w:r>
        <w:t xml:space="preserve">outside the plan (excludes recent MISO bids and any solar/storage).</w:t>
      </w:r>
    </w:p>
    <w:p>
      <w:pPr>
        <w:pStyle w:val="Compact"/>
        <w:numPr>
          <w:ilvl w:val="0"/>
          <w:numId w:val="1001"/>
        </w:numPr>
      </w:pPr>
      <w:r>
        <w:rPr>
          <w:b/>
          <w:bCs/>
        </w:rPr>
        <w:t xml:space="preserve">Competitive transmission wins pipeline:</w:t>
      </w:r>
      <w:r>
        <w:t xml:space="preserve"> </w:t>
      </w:r>
      <w:r>
        <w:t xml:space="preserve">~$1.9B of MISO Tranche 2.1 bids (with Invenergy) plus additional PJM/ISO bids. Any award news is a potential catalyst.</w:t>
      </w:r>
    </w:p>
    <w:p>
      <w:pPr>
        <w:pStyle w:val="Compact"/>
        <w:numPr>
          <w:ilvl w:val="0"/>
          <w:numId w:val="1001"/>
        </w:numPr>
      </w:pPr>
      <w:r>
        <w:rPr>
          <w:b/>
          <w:bCs/>
        </w:rPr>
        <w:t xml:space="preserve">Cost discipline:</w:t>
      </w:r>
      <w:r>
        <w:t xml:space="preserve"> </w:t>
      </w:r>
      <w:r>
        <w:t xml:space="preserve">targeting</w:t>
      </w:r>
      <w:r>
        <w:t xml:space="preserve"> </w:t>
      </w:r>
      <w:r>
        <w:rPr>
          <w:b/>
          <w:bCs/>
        </w:rPr>
        <w:t xml:space="preserve">$350M of incremental O&amp;M savings in 2027</w:t>
      </w:r>
      <w:r>
        <w:t xml:space="preserve">, ≤2% adjusted O&amp;M growth through 2029, plus a targeted voluntary separation program later this year.</w:t>
      </w:r>
    </w:p>
    <w:p>
      <w:pPr>
        <w:pStyle w:val="Compact"/>
        <w:numPr>
          <w:ilvl w:val="0"/>
          <w:numId w:val="1001"/>
        </w:numPr>
      </w:pPr>
      <w:r>
        <w:rPr>
          <w:b/>
          <w:bCs/>
        </w:rPr>
        <w:t xml:space="preserve">Financing:</w:t>
      </w:r>
      <w:r>
        <w:t xml:space="preserve"> </w:t>
      </w:r>
      <w:r>
        <w:t xml:space="preserve">$3.4B equity need through 2029 (~40% of the incremental plan); at Q1 they'd priced ~37% of it via forwards and completed ~43% of debt financing. Credit-metric target ~14% at Moody's/S&amp;P.</w:t>
      </w:r>
    </w:p>
    <w:p>
      <w:r>
        <w:pict>
          <v:rect style="width:0;height:1.5pt" o:hralign="center" o:hrstd="t" o:hr="t"/>
        </w:pict>
      </w:r>
    </w:p>
    <w:bookmarkEnd w:id="12"/>
    <w:bookmarkStart w:id="13" w:name="Xc83c4d367ac61644ff41a84166f3991c8ae5bf9"/>
    <w:p>
      <w:pPr>
        <w:pStyle w:val="Heading2"/>
      </w:pPr>
      <w:r>
        <w:t xml:space="preserve">The five things that actually move the stock this quarter</w:t>
      </w:r>
    </w:p>
    <w:p>
      <w:pPr>
        <w:pStyle w:val="FirstParagraph"/>
      </w:pPr>
      <w:r>
        <w:rPr>
          <w:b/>
          <w:bCs/>
        </w:rPr>
        <w:t xml:space="preserve">1. Pennsylvania — the biggest overhang.</w:t>
      </w:r>
      <w:r>
        <w:t xml:space="preserve"> </w:t>
      </w:r>
      <w:r>
        <w:t xml:space="preserve">In Q1, PECO</w:t>
      </w:r>
      <w:r>
        <w:t xml:space="preserve"> </w:t>
      </w:r>
      <w:r>
        <w:rPr>
          <w:b/>
          <w:bCs/>
        </w:rPr>
        <w:t xml:space="preserve">withdrew</w:t>
      </w:r>
      <w:r>
        <w:t xml:space="preserve"> </w:t>
      </w:r>
      <w:r>
        <w:t xml:space="preserve">its electric and gas rate cases, a deliberate affordability-driven timing decision after Governor Shapiro's letter emphasizing cost-effective capital, ratemaking transparency, and "justifiable returns." Management framed this as reprioritizing capital, not abandoning it. Look for: (a) any signal on</w:t>
      </w:r>
      <w:r>
        <w:t xml:space="preserve"> </w:t>
      </w:r>
      <w:r>
        <w:rPr>
          <w:b/>
          <w:bCs/>
        </w:rPr>
        <w:t xml:space="preserve">timing of a PECO refiling</w:t>
      </w:r>
      <w:r>
        <w:t xml:space="preserve">, (b) commentary on whether Shapiro's principles translate into a</w:t>
      </w:r>
      <w:r>
        <w:t xml:space="preserve"> </w:t>
      </w:r>
      <w:r>
        <w:rPr>
          <w:b/>
          <w:bCs/>
        </w:rPr>
        <w:t xml:space="preserve">lower ROE / thinner equity layer</w:t>
      </w:r>
      <w:r>
        <w:t xml:space="preserve"> </w:t>
      </w:r>
      <w:r>
        <w:t xml:space="preserve">risk, and (c) an update on</w:t>
      </w:r>
      <w:r>
        <w:t xml:space="preserve"> </w:t>
      </w:r>
      <w:r>
        <w:rPr>
          <w:b/>
          <w:bCs/>
        </w:rPr>
        <w:t xml:space="preserve">PECO's credit</w:t>
      </w:r>
      <w:r>
        <w:t xml:space="preserve"> </w:t>
      </w:r>
      <w:r>
        <w:t xml:space="preserve">— it was on negative outlook / review for downgrade. New interim leadership (Mike Innocenzo, also COO) is another watch item.</w:t>
      </w:r>
    </w:p>
    <w:p>
      <w:pPr>
        <w:pStyle w:val="BodyText"/>
      </w:pPr>
      <w:r>
        <w:rPr>
          <w:b/>
          <w:bCs/>
        </w:rPr>
        <w:t xml:space="preserve">2. Maryland — Pepco order imminent.</w:t>
      </w:r>
      <w:r>
        <w:t xml:space="preserve"> </w:t>
      </w:r>
      <w:r>
        <w:t xml:space="preserve">The Pepco Maryland base rate case (revenue request</w:t>
      </w:r>
      <w:r>
        <w:t xml:space="preserve"> </w:t>
      </w:r>
      <w:r>
        <w:rPr>
          <w:b/>
          <w:bCs/>
        </w:rPr>
        <w:t xml:space="preserve">$119.9M</w:t>
      </w:r>
      <w:r>
        <w:t xml:space="preserve">) had evidentiary hearings in the spring with a</w:t>
      </w:r>
      <w:r>
        <w:t xml:space="preserve"> </w:t>
      </w:r>
      <w:r>
        <w:rPr>
          <w:b/>
          <w:bCs/>
        </w:rPr>
        <w:t xml:space="preserve">final order expected in August</w:t>
      </w:r>
      <w:r>
        <w:t xml:space="preserve"> </w:t>
      </w:r>
      <w:r>
        <w:t xml:space="preserve">— so this print could carry a fresh update or set up a near-term catalyst. Also watch commentary on the signed</w:t>
      </w:r>
      <w:r>
        <w:t xml:space="preserve"> </w:t>
      </w:r>
      <w:r>
        <w:rPr>
          <w:b/>
          <w:bCs/>
        </w:rPr>
        <w:t xml:space="preserve">Utility RELIEF Act</w:t>
      </w:r>
      <w:r>
        <w:t xml:space="preserve"> </w:t>
      </w:r>
      <w:r>
        <w:t xml:space="preserve">and the failed</w:t>
      </w:r>
      <w:r>
        <w:t xml:space="preserve"> </w:t>
      </w:r>
      <w:r>
        <w:rPr>
          <w:b/>
          <w:bCs/>
        </w:rPr>
        <w:t xml:space="preserve">HB1561</w:t>
      </w:r>
      <w:r>
        <w:t xml:space="preserve"> </w:t>
      </w:r>
      <w:r>
        <w:t xml:space="preserve">(utility-owned backstop generation), which frames the supply/affordability fight.</w:t>
      </w:r>
    </w:p>
    <w:p>
      <w:pPr>
        <w:pStyle w:val="BodyText"/>
      </w:pPr>
      <w:r>
        <w:rPr>
          <w:b/>
          <w:bCs/>
        </w:rPr>
        <w:t xml:space="preserve">3. Delaware — DPL.</w:t>
      </w:r>
      <w:r>
        <w:t xml:space="preserve"> </w:t>
      </w:r>
      <w:r>
        <w:t xml:space="preserve">Interim rates were expected to take effect in July; intervenor testimony is due late October. A likely minor but positive incremental.</w:t>
      </w:r>
    </w:p>
    <w:p>
      <w:pPr>
        <w:pStyle w:val="BodyText"/>
      </w:pPr>
      <w:r>
        <w:rPr>
          <w:b/>
          <w:bCs/>
        </w:rPr>
        <w:t xml:space="preserve">4. Load growth &amp; data centers.</w:t>
      </w:r>
      <w:r>
        <w:t xml:space="preserve"> </w:t>
      </w:r>
      <w:r>
        <w:t xml:space="preserve">Exelon has been backing its data-center pipeline with</w:t>
      </w:r>
      <w:r>
        <w:t xml:space="preserve"> </w:t>
      </w:r>
      <w:r>
        <w:rPr>
          <w:b/>
          <w:bCs/>
        </w:rPr>
        <w:t xml:space="preserve">FERC-approved transmission security agreements</w:t>
      </w:r>
      <w:r>
        <w:t xml:space="preserve"> </w:t>
      </w:r>
      <w:r>
        <w:t xml:space="preserve">(~$1B of collateral secured as of Q1). Any expansion here supports the transmission upside case and is central to the multi-year story.</w:t>
      </w:r>
    </w:p>
    <w:p>
      <w:pPr>
        <w:pStyle w:val="BodyText"/>
      </w:pPr>
      <w:r>
        <w:rPr>
          <w:b/>
          <w:bCs/>
        </w:rPr>
        <w:t xml:space="preserve">5. Weather/storms.</w:t>
      </w:r>
      <w:r>
        <w:t xml:space="preserve"> </w:t>
      </w:r>
      <w:r>
        <w:t xml:space="preserve">Q2 is peak storm season and the year-ago quarter absorbed one of PECO's largest storms ever (&gt;325k outages). For decoupled utilities (ComEd, BGE, Pepco MD, DPL MD, ACE) weather is neutralized, but</w:t>
      </w:r>
      <w:r>
        <w:t xml:space="preserve"> </w:t>
      </w:r>
      <w:r>
        <w:rPr>
          <w:b/>
          <w:bCs/>
        </w:rPr>
        <w:t xml:space="preserve">PECO and PECO gas are weather-exposed</w:t>
      </w:r>
      <w:r>
        <w:t xml:space="preserve"> </w:t>
      </w:r>
      <w:r>
        <w:t xml:space="preserve">— Q1 already benefited ~$0.01 from favorable PECO weather.</w:t>
      </w:r>
    </w:p>
    <w:p>
      <w:r>
        <w:pict>
          <v:rect style="width:0;height:1.5pt" o:hralign="center" o:hrstd="t" o:hr="t"/>
        </w:pict>
      </w:r>
    </w:p>
    <w:bookmarkEnd w:id="13"/>
    <w:bookmarkStart w:id="14" w:name="Xb5b4fe2cb916ecc1d34cb7a93512a56f757fbfb"/>
    <w:p>
      <w:pPr>
        <w:pStyle w:val="Heading2"/>
      </w:pPr>
      <w:r>
        <w:t xml:space="preserve">Year-ago Q2 2025 segment scorecard (adjusted operating earnings, the comparison base)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Unit</w:t>
            </w:r>
          </w:p>
        </w:tc>
        <w:tc>
          <w:tcPr/>
          <w:p>
            <w:pPr>
              <w:pStyle w:val="Compact"/>
            </w:pPr>
            <w:r>
              <w:t xml:space="preserve">Q2'25 adj. earnings</w:t>
            </w:r>
          </w:p>
        </w:tc>
        <w:tc>
          <w:tcPr/>
          <w:p>
            <w:pPr>
              <w:pStyle w:val="Compact"/>
            </w:pPr>
            <w:r>
              <w:t xml:space="preserve">Key driver into Q2'26</w:t>
            </w:r>
          </w:p>
        </w:tc>
      </w:tr>
      <w:tr>
        <w:tc>
          <w:tcPr/>
          <w:p>
            <w:pPr>
              <w:pStyle w:val="Compact"/>
            </w:pPr>
            <w:r>
              <w:t xml:space="preserve">ComEd</w:t>
            </w:r>
          </w:p>
        </w:tc>
        <w:tc>
          <w:tcPr/>
          <w:p>
            <w:pPr>
              <w:pStyle w:val="Compact"/>
            </w:pPr>
            <w:r>
              <w:t xml:space="preserve">$228M</w:t>
            </w:r>
          </w:p>
        </w:tc>
        <w:tc>
          <w:tcPr/>
          <w:p>
            <w:pPr>
              <w:pStyle w:val="Compact"/>
            </w:pPr>
            <w:r>
              <w:t xml:space="preserve">Distribution timing/revenue shaping; AFUDC; transmission growth</w:t>
            </w:r>
          </w:p>
        </w:tc>
      </w:tr>
      <w:tr>
        <w:tc>
          <w:tcPr/>
          <w:p>
            <w:pPr>
              <w:pStyle w:val="Compact"/>
            </w:pPr>
            <w:r>
              <w:t xml:space="preserve">PECO</w:t>
            </w:r>
          </w:p>
        </w:tc>
        <w:tc>
          <w:tcPr/>
          <w:p>
            <w:pPr>
              <w:pStyle w:val="Compact"/>
            </w:pPr>
            <w:r>
              <w:t xml:space="preserve">$136M</w:t>
            </w:r>
          </w:p>
        </w:tc>
        <w:tc>
          <w:tcPr/>
          <w:p>
            <w:pPr>
              <w:pStyle w:val="Compact"/>
            </w:pPr>
            <w:r>
              <w:t xml:space="preserve">Rate-case withdrawal removes a catalyst; weather-exposed</w:t>
            </w:r>
          </w:p>
        </w:tc>
      </w:tr>
      <w:tr>
        <w:tc>
          <w:tcPr/>
          <w:p>
            <w:pPr>
              <w:pStyle w:val="Compact"/>
            </w:pPr>
            <w:r>
              <w:t xml:space="preserve">BGE</w:t>
            </w:r>
          </w:p>
        </w:tc>
        <w:tc>
          <w:tcPr/>
          <w:p>
            <w:pPr>
              <w:pStyle w:val="Compact"/>
            </w:pPr>
            <w:r>
              <w:t xml:space="preserve">$55M</w:t>
            </w:r>
          </w:p>
        </w:tc>
        <w:tc>
          <w:tcPr/>
          <w:p>
            <w:pPr>
              <w:pStyle w:val="Compact"/>
            </w:pPr>
            <w:r>
              <w:t xml:space="preserve">Decoupled; Next Gen Energy Act rate roll-off dynamics</w:t>
            </w:r>
          </w:p>
        </w:tc>
      </w:tr>
      <w:tr>
        <w:tc>
          <w:tcPr/>
          <w:p>
            <w:pPr>
              <w:pStyle w:val="Compact"/>
            </w:pPr>
            <w:r>
              <w:t xml:space="preserve">PHI (Pepco/DPL/ACE)</w:t>
            </w:r>
          </w:p>
        </w:tc>
        <w:tc>
          <w:tcPr/>
          <w:p>
            <w:pPr>
              <w:pStyle w:val="Compact"/>
            </w:pPr>
            <w:r>
              <w:t xml:space="preserve">$144M</w:t>
            </w:r>
          </w:p>
        </w:tc>
        <w:tc>
          <w:tcPr/>
          <w:p>
            <w:pPr>
              <w:pStyle w:val="Compact"/>
            </w:pPr>
            <w:r>
              <w:t xml:space="preserve">MD MYP reconciliation swings; Pepco MD rate order pending</w:t>
            </w:r>
          </w:p>
        </w:tc>
      </w:tr>
      <w:tr>
        <w:tc>
          <w:tcPr/>
          <w:p>
            <w:pPr>
              <w:pStyle w:val="Compact"/>
            </w:pPr>
            <w:r>
              <w:rPr>
                <w:b/>
                <w:bCs/>
              </w:rPr>
              <w:t xml:space="preserve">Exelon total</w:t>
            </w:r>
          </w:p>
        </w:tc>
        <w:tc>
          <w:tcPr/>
          <w:p>
            <w:pPr>
              <w:pStyle w:val="Compact"/>
            </w:pPr>
            <m:oMath>
              <m:r>
                <m:t>392</m:t>
              </m:r>
              <m:r>
                <m:t>M</m:t>
              </m:r>
              <m:r>
                <m:rPr>
                  <m:sty m:val="p"/>
                </m:rPr>
                <m:t>(</m:t>
              </m:r>
            </m:oMath>
            <w:r>
              <w:rPr>
                <w:b/>
                <w:bCs/>
              </w:rPr>
              <w:t xml:space="preserve">0.39)</w:t>
            </w:r>
          </w:p>
        </w:tc>
        <w:tc>
          <w:tcPr/>
          <w:p>
            <w:pPr>
              <w:pStyle w:val="Compact"/>
            </w:pPr>
          </w:p>
        </w:tc>
      </w:tr>
    </w:tbl>
    <w:p>
      <w:r>
        <w:pict>
          <v:rect style="width:0;height:1.5pt" o:hralign="center" o:hrstd="t" o:hr="t"/>
        </w:pict>
      </w:r>
    </w:p>
    <w:bookmarkEnd w:id="14"/>
    <w:bookmarkStart w:id="15" w:name="balance-sheet--capital-snapshot-q1-2026"/>
    <w:p>
      <w:pPr>
        <w:pStyle w:val="Heading2"/>
      </w:pPr>
      <w:r>
        <w:t xml:space="preserve">Balance sheet / capital snapshot (Q1 2026)</w:t>
      </w:r>
    </w:p>
    <w:p>
      <w:pPr>
        <w:pStyle w:val="Compact"/>
        <w:numPr>
          <w:ilvl w:val="0"/>
          <w:numId w:val="1002"/>
        </w:numPr>
      </w:pPr>
      <w:r>
        <w:t xml:space="preserve">Total assets ~</w:t>
      </w:r>
      <m:oMath>
        <m:r>
          <m:t>117.5</m:t>
        </m:r>
        <m:r>
          <m:t>B</m:t>
        </m:r>
        <m:r>
          <m:rPr>
            <m:sty m:val="p"/>
          </m:rPr>
          <m:t>;</m:t>
        </m:r>
        <m:r>
          <m:t>l</m:t>
        </m:r>
        <m:r>
          <m:t>o</m:t>
        </m:r>
        <m:r>
          <m:t>n</m:t>
        </m:r>
        <m:r>
          <m:t>g</m:t>
        </m:r>
        <m:r>
          <m:rPr>
            <m:sty m:val="p"/>
          </m:rPr>
          <m:t>−</m:t>
        </m:r>
        <m:r>
          <m:t>t</m:t>
        </m:r>
        <m:r>
          <m:t>e</m:t>
        </m:r>
        <m:r>
          <m:t>r</m:t>
        </m:r>
        <m:r>
          <m:t>m</m:t>
        </m:r>
        <m:r>
          <m:t>d</m:t>
        </m:r>
        <m:r>
          <m:t>e</m:t>
        </m:r>
        <m:r>
          <m:t>b</m:t>
        </m:r>
        <m:r>
          <m:t>t</m:t>
        </m:r>
        <m:r>
          <m:t> </m:t>
        </m:r>
      </m:oMath>
      <w:r>
        <w:t xml:space="preserve">47.9B; equity ~$29.3B.</w:t>
      </w:r>
    </w:p>
    <w:p>
      <w:pPr>
        <w:pStyle w:val="Compact"/>
        <w:numPr>
          <w:ilvl w:val="0"/>
          <w:numId w:val="1002"/>
        </w:numPr>
      </w:pPr>
      <w:r>
        <w:t xml:space="preserve">Q1 capex $2.36B (up from</w:t>
      </w:r>
      <w:r>
        <w:t xml:space="preserve"> </w:t>
      </w:r>
      <m:oMath>
        <m:r>
          <m:t>1.95</m:t>
        </m:r>
        <m:r>
          <m:t>B</m:t>
        </m:r>
        <m:r>
          <m:t>Y</m:t>
        </m:r>
        <m:r>
          <m:t>o</m:t>
        </m:r>
        <m:r>
          <m:t>Y</m:t>
        </m:r>
        <m:r>
          <m:rPr>
            <m:sty m:val="p"/>
          </m:rPr>
          <m:t>)</m:t>
        </m:r>
        <m:r>
          <m:rPr>
            <m:sty m:val="p"/>
          </m:rPr>
          <m:t>—</m:t>
        </m:r>
        <m:r>
          <m:t>s</m:t>
        </m:r>
        <m:r>
          <m:t>p</m:t>
        </m:r>
        <m:r>
          <m:t>e</m:t>
        </m:r>
        <m:r>
          <m:t>n</m:t>
        </m:r>
        <m:r>
          <m:t>d</m:t>
        </m:r>
        <m:r>
          <m:t>i</m:t>
        </m:r>
        <m:r>
          <m:t>n</m:t>
        </m:r>
        <m:r>
          <m:t>g</m:t>
        </m:r>
        <m:r>
          <m:t>i</m:t>
        </m:r>
        <m:r>
          <m:t>s</m:t>
        </m:r>
        <m:r>
          <m:t>r</m:t>
        </m:r>
        <m:r>
          <m:t>a</m:t>
        </m:r>
        <m:r>
          <m:t>m</m:t>
        </m:r>
        <m:r>
          <m:t>p</m:t>
        </m:r>
        <m:r>
          <m:t>i</m:t>
        </m:r>
        <m:r>
          <m:t>n</m:t>
        </m:r>
        <m:r>
          <m:t>g</m:t>
        </m:r>
        <m:r>
          <m:t>t</m:t>
        </m:r>
        <m:r>
          <m:t>o</m:t>
        </m:r>
        <m:r>
          <m:t>w</m:t>
        </m:r>
        <m:r>
          <m:t>a</m:t>
        </m:r>
        <m:r>
          <m:t>r</m:t>
        </m:r>
        <m:r>
          <m:t>d</m:t>
        </m:r>
        <m:r>
          <m:t>t</m:t>
        </m:r>
        <m:r>
          <m:t>h</m:t>
        </m:r>
        <m:r>
          <m:t>e</m:t>
        </m:r>
        <m:r>
          <m:t> </m:t>
        </m:r>
      </m:oMath>
      <w:r>
        <w:t xml:space="preserve">10B 2026 target.</w:t>
      </w:r>
    </w:p>
    <w:p>
      <w:pPr>
        <w:pStyle w:val="Compact"/>
        <w:numPr>
          <w:ilvl w:val="0"/>
          <w:numId w:val="1002"/>
        </w:numPr>
      </w:pPr>
      <w:r>
        <w:t xml:space="preserve">Quarterly dividend raised to</w:t>
      </w:r>
      <w:r>
        <w:t xml:space="preserve"> </w:t>
      </w:r>
      <w:r>
        <w:rPr>
          <w:b/>
          <w:bCs/>
        </w:rPr>
        <w:t xml:space="preserve">$0.42/share</w:t>
      </w:r>
      <w:r>
        <w:t xml:space="preserve"> </w:t>
      </w:r>
      <w:r>
        <w:t xml:space="preserve">(from $0.40 a year ago).</w:t>
      </w:r>
    </w:p>
    <w:p>
      <w:pPr>
        <w:pStyle w:val="Compact"/>
        <w:numPr>
          <w:ilvl w:val="0"/>
          <w:numId w:val="1002"/>
        </w:numPr>
      </w:pPr>
      <w:r>
        <w:t xml:space="preserve">Consolidated ROE target</w:t>
      </w:r>
      <w:r>
        <w:t xml:space="preserve"> </w:t>
      </w:r>
      <w:r>
        <w:rPr>
          <w:b/>
          <w:bCs/>
        </w:rPr>
        <w:t xml:space="preserve">9–10%</w:t>
      </w:r>
      <w:r>
        <w:t xml:space="preserve">.</w:t>
      </w:r>
    </w:p>
    <w:p>
      <w:r>
        <w:pict>
          <v:rect style="width:0;height:1.5pt" o:hralign="center" o:hrstd="t" o:hr="t"/>
        </w:pict>
      </w:r>
    </w:p>
    <w:bookmarkEnd w:id="15"/>
    <w:bookmarkStart w:id="16" w:name="stock-setup--positioning"/>
    <w:p>
      <w:pPr>
        <w:pStyle w:val="Heading2"/>
      </w:pPr>
      <w:r>
        <w:t xml:space="preserve">Stock setup &amp; positioning</w:t>
      </w:r>
    </w:p>
    <w:p>
      <w:pPr>
        <w:pStyle w:val="Compact"/>
        <w:numPr>
          <w:ilvl w:val="0"/>
          <w:numId w:val="1003"/>
        </w:numPr>
      </w:pPr>
      <w:r>
        <w:t xml:space="preserve">EXC is</w:t>
      </w:r>
      <w:r>
        <w:t xml:space="preserve"> </w:t>
      </w:r>
      <w:r>
        <w:rPr>
          <w:b/>
          <w:bCs/>
        </w:rPr>
        <w:t xml:space="preserve">~+8% YTD</w:t>
      </w:r>
      <w:r>
        <w:t xml:space="preserve"> </w:t>
      </w:r>
      <w:r>
        <w:t xml:space="preserve">(roughly $43.9 → $47.3), modestly ahead of the utilities sector (XLU ~+5%), and has recovered from a ~5% three-day drop right after the May Q1 print (the PECO withdrawal / capital reshuffle spooked the tape before it recouped).</w:t>
      </w:r>
    </w:p>
    <w:p>
      <w:pPr>
        <w:pStyle w:val="Compact"/>
        <w:numPr>
          <w:ilvl w:val="0"/>
          <w:numId w:val="1003"/>
        </w:numPr>
      </w:pPr>
      <w:r>
        <w:t xml:space="preserve">Shares have drifted lower into the print (~$47.3 on 7/28 → $46.8 on 7/29).</w:t>
      </w:r>
    </w:p>
    <w:p>
      <w:pPr>
        <w:pStyle w:val="Compact"/>
        <w:numPr>
          <w:ilvl w:val="0"/>
          <w:numId w:val="1003"/>
        </w:numPr>
      </w:pPr>
      <w:r>
        <w:t xml:space="preserve">As a low-beta, decoupling-heavy regulated name, EXC tends to trade on</w:t>
      </w:r>
      <w:r>
        <w:t xml:space="preserve"> </w:t>
      </w:r>
      <w:r>
        <w:rPr>
          <w:b/>
          <w:bCs/>
        </w:rPr>
        <w:t xml:space="preserve">rate-of-change in the regulatory/affordability narrative and rate-base durability</w:t>
      </w:r>
      <w:r>
        <w:t xml:space="preserve">, not the quarter itself.</w:t>
      </w:r>
    </w:p>
    <w:p>
      <w:r>
        <w:pict>
          <v:rect style="width:0;height:1.5pt" o:hralign="center" o:hrstd="t" o:hr="t"/>
        </w:pict>
      </w:r>
    </w:p>
    <w:bookmarkEnd w:id="16"/>
    <w:bookmarkStart w:id="17" w:name="Xb3f33af664234711c750b304f6369178f6fb6d3"/>
    <w:p>
      <w:pPr>
        <w:pStyle w:val="Heading2"/>
      </w:pPr>
      <w:r>
        <w:t xml:space="preserve">Bottom line — what would make this a "good" vs. "bad" print</w:t>
      </w:r>
    </w:p>
    <w:p>
      <w:pPr>
        <w:pStyle w:val="FirstParagraph"/>
      </w:pPr>
      <w:r>
        <w:rPr>
          <w:b/>
          <w:bCs/>
        </w:rPr>
        <w:t xml:space="preserve">Bullish:</w:t>
      </w:r>
      <w:r>
        <w:t xml:space="preserve"> </w:t>
      </w:r>
      <w:r>
        <w:t xml:space="preserve">clean reaffirmation of</w:t>
      </w:r>
      <w:r>
        <w:t xml:space="preserve"> </w:t>
      </w:r>
      <m:oMath>
        <m:r>
          <m:t>2.81</m:t>
        </m:r>
        <m:r>
          <m:rPr>
            <m:sty m:val="p"/>
          </m:rPr>
          <m:t>–</m:t>
        </m:r>
      </m:oMath>
      <w:r>
        <w:t xml:space="preserve">2.91 (biased to midpoint-or-better) and top-half 5–7% CAGR; constructive/de-risking language on Pennsylvania (clear refiling path, no ROE/equity-cap concession, PECO credit stabilized); a favorable or on-track Pepco MD order; and any competitive transmission award or incremental data-center transmission agreements that reinforce the 16% transmission rate-base growth and $12–17B upside.</w:t>
      </w:r>
    </w:p>
    <w:p>
      <w:pPr>
        <w:pStyle w:val="BodyText"/>
      </w:pPr>
      <w:r>
        <w:rPr>
          <w:b/>
          <w:bCs/>
        </w:rPr>
        <w:t xml:space="preserve">Bearish:</w:t>
      </w:r>
      <w:r>
        <w:t xml:space="preserve"> </w:t>
      </w:r>
      <w:r>
        <w:t xml:space="preserve">any hint of pressure on the long-term CAGR, evidence that the PA affordability push is bleeding into structurally lower authorized returns/equity ratios, a PECO downgrade, an adverse Pepco MD outcome, or a materially larger equity need. Given the seasonally tiny quarter, a small EPS miss/beat is likely noise — the guidance, PA/MD regulatory tone, and transmission trajectory are the signal.</w:t>
      </w:r>
    </w:p>
    <w:p>
      <w:r>
        <w:pict>
          <v:rect style="width:0;height:1.5pt" o:hralign="center" o:hrstd="t" o:hr="t"/>
        </w:pict>
      </w:r>
    </w:p>
    <w:p>
      <w:pPr>
        <w:pStyle w:val="FirstParagraph"/>
      </w:pPr>
      <w:r>
        <w:rPr>
          <w:i/>
          <w:iCs/>
        </w:rPr>
        <w:t xml:space="preserve">Sources: Exelon Q1 2026 earnings release and conference-call transcript (May 6, 2026); Q2 2025 earnings release (July 31, 2025); consensus figures and estimate dispersion from publicly reported analyst previews; price data via market feed. Q2 2026 results were not yet available at the time of writing.</w:t>
      </w:r>
    </w:p>
    <w:bookmarkEnd w:id="17"/>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2026-07-29T18:51:35Z</dcterms:created>
  <dcterms:modified xsi:type="dcterms:W3CDTF">2026-07-29T18:51:35Z</dcterms:modified>
</cp:coreProperties>
</file>

<file path=docProps/custom.xml><?xml version="1.0" encoding="utf-8"?>
<Properties xmlns="http://schemas.openxmlformats.org/officeDocument/2006/custom-properties" xmlns:vt="http://schemas.openxmlformats.org/officeDocument/2006/docPropsVTypes"/>
</file>