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c-earnings-predictions--2026-07-30"/>
    <w:p>
      <w:pPr>
        <w:pStyle w:val="Heading1"/>
      </w:pPr>
      <w:r>
        <w:t xml:space="preserve">EXC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(non-GAAP) 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0.44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0.44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Total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5.65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5.72B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FFO-to-Debt / Credit Metric (annualized run-rate)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~13.5% vs. cons/target ~14.0%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2.81</m:t>
              </m:r>
              <m:r>
                <m:rPr>
                  <m:sty m:val="p"/>
                </m:rPr>
                <m:t>−</m:t>
              </m:r>
            </m:oMath>
            <w:r>
              <w:t xml:space="preserve">2.91 (midpoint $2.86) vs. cons $2.85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Growth Algorithm (Rate Base CAGR)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~7.9% (top end of 5-7% EPS algo) vs. cons ~6.0% (2026-2029)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4-Year Transmission/Total Capital Plan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41.7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p</m:t>
              </m:r>
              <m:r>
                <m:t>l</m:t>
              </m:r>
              <m:r>
                <m:t>a</m:t>
              </m:r>
              <m:r>
                <m:t>n</m:t>
              </m:r>
              <m:r>
                <m:t> </m:t>
              </m:r>
            </m:oMath>
            <w:r>
              <w:t xml:space="preserve">40.0B (2026-2029)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-1.8% (FADE)</w:t>
            </w:r>
          </w:p>
        </w:tc>
        <w:tc>
          <w:tcPr/>
          <w:p>
            <w:pPr>
              <w:pStyle w:val="Compact"/>
            </w:pPr>
            <w:r>
              <w:t xml:space="preserve">EPS is almost fully pre-guided (CFO flagged ~15% of</w:t>
            </w:r>
            <w:r>
              <w:t xml:space="preserve"> </w:t>
            </w:r>
            <m:oMath>
              <m:r>
                <m:t>2.86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=</m:t>
              </m:r>
              <m:r>
                <m:t> </m:t>
              </m:r>
            </m:oMath>
            <w:r>
              <w:t xml:space="preserve">0.43-0.44), so the headline print is unlikely to surprise; the stock's reaction will instead hinge on regulatory/credit commentary. Estimates have already drifted down 6-8% over 30/90 days, and out-year models still need to absorb the PECO rate-case delay, a possible unfavorable Pepco MD order, and any further Moody's/S&amp;P action on PECO/BGE. Even a muted or slightly positive day-1 reaction is likely to fade over the week as sell-side analysts trim 2027-2028 EPS/rate-base assumptions for the credit and PA/MD regulatory friction, similar to the post-Q1 pattern where a beat still produced a ~2.5% decline.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2026-07-29T18:59:52Z</dcterms:created>
  <dcterms:modified xsi:type="dcterms:W3CDTF">2026-07-29T18:59:52Z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