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exc-q2-2026-earnings-preview"/>
    <w:p>
      <w:pPr>
        <w:pStyle w:val="Heading1"/>
      </w:pPr>
      <w:r>
        <w:t xml:space="preserve">EXC Q2 2026 Earnings Preview</w:t>
      </w:r>
    </w:p>
    <w:p>
      <w:pPr>
        <w:pStyle w:val="FirstParagraph"/>
      </w:pPr>
      <w:r>
        <w:t xml:space="preserve">Exelon reports second-quarter results before the market opens on</w:t>
      </w:r>
      <w:r>
        <w:t xml:space="preserve"> </w:t>
      </w:r>
      <w:r>
        <w:rPr>
          <w:b/>
          <w:bCs/>
        </w:rPr>
        <w:t xml:space="preserve">Thursday, July 30, 2026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 (</w:t>
      </w:r>
      <w:hyperlink r:id="rId9">
        <w:r>
          <w:rPr>
            <w:rStyle w:val="Hyperlink"/>
          </w:rPr>
          <w:t xml:space="preserve">investors.exeloncorp.com</w:t>
        </w:r>
      </w:hyperlink>
      <w:r>
        <w:t xml:space="preserve">)</w:t>
      </w:r>
    </w:p>
    <w:bookmarkStart w:id="11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For EXC, the quarterly EPS result is unlikely to be the main debate. The more important questions are whether management can: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Reaffirm 2026 EPS guidance of</w:t>
      </w:r>
      <w:r>
        <w:rPr>
          <w:b/>
          <w:bCs/>
        </w:rPr>
        <w:t xml:space="preserve"> </w:t>
      </w:r>
      <m:oMath>
        <m:r>
          <m:t>2.81</m:t>
        </m:r>
        <m:r>
          <m:rPr>
            <m:sty m:val="p"/>
          </m:rPr>
          <m:t>–</m:t>
        </m:r>
      </m:oMath>
      <w:r>
        <w:rPr>
          <w:b/>
          <w:bCs/>
        </w:rPr>
        <w:t xml:space="preserve">2.91</w:t>
      </w:r>
    </w:p>
    <w:p>
      <w:pPr>
        <w:pStyle w:val="Compact"/>
        <w:numPr>
          <w:ilvl w:val="0"/>
          <w:numId w:val="1001"/>
        </w:numPr>
      </w:pPr>
      <w:r>
        <w:t xml:space="preserve">Preserve its expectation for earnings growth near the top of the</w:t>
      </w:r>
      <w:r>
        <w:t xml:space="preserve"> </w:t>
      </w:r>
      <w:r>
        <w:rPr>
          <w:b/>
          <w:bCs/>
        </w:rPr>
        <w:t xml:space="preserve">5%–7%</w:t>
      </w:r>
      <w:r>
        <w:t xml:space="preserve"> </w:t>
      </w:r>
      <w:r>
        <w:t xml:space="preserve">range through 2029</w:t>
      </w:r>
    </w:p>
    <w:p>
      <w:pPr>
        <w:pStyle w:val="Compact"/>
        <w:numPr>
          <w:ilvl w:val="0"/>
          <w:numId w:val="1001"/>
        </w:numPr>
      </w:pPr>
      <w:r>
        <w:t xml:space="preserve">Absorb increasingly difficult regulatory developments in Maryland, Pennsylvania and Delaware</w:t>
      </w:r>
    </w:p>
    <w:p>
      <w:pPr>
        <w:pStyle w:val="Compact"/>
        <w:numPr>
          <w:ilvl w:val="0"/>
          <w:numId w:val="1001"/>
        </w:numPr>
      </w:pPr>
      <w:r>
        <w:t xml:space="preserve">Keep the revised</w:t>
      </w:r>
      <w:r>
        <w:t xml:space="preserve"> </w:t>
      </w:r>
      <w:r>
        <w:rPr>
          <w:b/>
          <w:bCs/>
        </w:rPr>
        <w:t xml:space="preserve">$41.7 billion capital plan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7.9% rate-base growth</w:t>
      </w:r>
      <w:r>
        <w:t xml:space="preserve"> </w:t>
      </w:r>
      <w:r>
        <w:t xml:space="preserve">outlook intact</w:t>
      </w:r>
    </w:p>
    <w:p>
      <w:pPr>
        <w:pStyle w:val="Compact"/>
        <w:numPr>
          <w:ilvl w:val="0"/>
          <w:numId w:val="1001"/>
        </w:numPr>
      </w:pPr>
      <w:r>
        <w:t xml:space="preserve">Demonstrate that transmission and data-center-related investment can offset slower distribution investment without adding customer or balance-sheet risk. (</w:t>
      </w:r>
      <w:hyperlink r:id="rId10">
        <w:r>
          <w:rPr>
            <w:rStyle w:val="Hyperlink"/>
          </w:rPr>
          <w:t xml:space="preserve">investors.exeloncorp.com</w:t>
        </w:r>
      </w:hyperlink>
      <w:r>
        <w:t xml:space="preserve">)</w:t>
      </w:r>
    </w:p>
    <w:p>
      <w:pPr>
        <w:pStyle w:val="FirstParagraph"/>
      </w:pPr>
      <w:r>
        <w:rPr>
          <w:b/>
          <w:bCs/>
        </w:rPr>
        <w:t xml:space="preserve">Base case:</w:t>
      </w:r>
      <w:r>
        <w:t xml:space="preserve"> </w:t>
      </w:r>
      <w:r>
        <w:t xml:space="preserve">a broadly in-line quarter, full-year guidance reaffirmed, and management emphasizing transmission growth, cost reductions and portfolio flexibility. The principal downside risk is not a modest EPS miss; it is another reduction or reprioritization of capital because of regulatory and affordability pressure.</w:t>
      </w:r>
    </w:p>
    <w:p>
      <w:r>
        <w:pict>
          <v:rect style="width:0;height:1.5pt" o:hralign="center" o:hrstd="t" o:hr="t"/>
        </w:pict>
      </w:r>
    </w:p>
    <w:bookmarkEnd w:id="11"/>
    <w:bookmarkStart w:id="13" w:name="key-expectations"/>
    <w:p>
      <w:pPr>
        <w:pStyle w:val="Heading2"/>
      </w:pPr>
      <w:r>
        <w:t xml:space="preserve">Key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Preview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Management-implied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~$0.43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Published consensus snapshots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Highly inconsistent: roughly</w:t>
            </w:r>
            <w:r>
              <w:rPr>
                <w:b/>
                <w:bCs/>
              </w:rPr>
              <w:t xml:space="preserve"> </w:t>
            </w:r>
            <m:oMath>
              <m:r>
                <m:t>0.44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$0.39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2.81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Guidance midpoint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$2.86</w:t>
            </w:r>
          </w:p>
        </w:tc>
      </w:tr>
      <w:tr>
        <w:tc>
          <w:tcPr/>
          <w:p>
            <w:pPr>
              <w:pStyle w:val="Compact"/>
            </w:pPr>
            <w:r>
              <w:t xml:space="preserve">Q1 2026 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 four-year capital plan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$41.7B for 2026–2029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rate-base CAGR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Long-term EPS growth target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Near the top of 5%–7%</w:t>
            </w:r>
          </w:p>
        </w:tc>
      </w:tr>
    </w:tbl>
    <w:p>
      <w:pPr>
        <w:pStyle w:val="BodyText"/>
      </w:pPr>
      <w:r>
        <w:t xml:space="preserve">At the first-quarter call, management indicated that Q2 would represent approximately</w:t>
      </w:r>
      <w:r>
        <w:t xml:space="preserve"> </w:t>
      </w:r>
      <w:r>
        <w:rPr>
          <w:b/>
          <w:bCs/>
        </w:rPr>
        <w:t xml:space="preserve">15% of the full-year guidance midpoint</w:t>
      </w:r>
      <w:r>
        <w:t xml:space="preserve">, implying about</w:t>
      </w:r>
      <w:r>
        <w:t xml:space="preserve"> </w:t>
      </w:r>
      <w:r>
        <w:rPr>
          <w:b/>
          <w:bCs/>
        </w:rPr>
        <w:t xml:space="preserve">$0.43 per share</w:t>
      </w:r>
      <w:r>
        <w:t xml:space="preserve">. Combined with Q1’s</w:t>
      </w:r>
      <w:r>
        <w:t xml:space="preserve"> </w:t>
      </w:r>
      <m:oMath>
        <m:r>
          <m:t>0.91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p</m:t>
        </m:r>
        <m:r>
          <m:t>u</m:t>
        </m:r>
        <m:r>
          <m:t>t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E</m:t>
        </m:r>
        <m:r>
          <m:t>P</m:t>
        </m:r>
        <m:r>
          <m:t>S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1.34**, or approximately 47% of the annual midpoint—consistent with management’s seasonal earnings profile.</w:t>
      </w:r>
    </w:p>
    <w:p>
      <w:pPr>
        <w:pStyle w:val="BodyText"/>
      </w:pPr>
      <w:r>
        <w:t xml:space="preserve">Third-party consensus data should be treated cautiously. Current public aggregators show unusually wide variation, with estimates ranging from approximately $0.44 to $0.54 and some based on only three submissions. Management’s explicit quarterly shaping is therefore the cleaner benchmark. (</w:t>
      </w:r>
      <w:hyperlink r:id="rId12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6" w:name="what-should-drive-q2-earnings"/>
    <w:p>
      <w:pPr>
        <w:pStyle w:val="Heading2"/>
      </w:pPr>
      <w:r>
        <w:t xml:space="preserve">What should drive Q2 earnings?</w:t>
      </w:r>
    </w:p>
    <w:bookmarkStart w:id="14" w:name="positive-drivers"/>
    <w:p>
      <w:pPr>
        <w:pStyle w:val="Heading3"/>
      </w:pPr>
      <w:r>
        <w:t xml:space="preserve">Positive drivers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Higher distribution and transmission rate base:</w:t>
      </w:r>
      <w:r>
        <w:t xml:space="preserve"> </w:t>
      </w:r>
      <w:r>
        <w:t xml:space="preserve">Approved rates and ongoing investment should continue to support earnings at ComEd, BGE and PHI.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Transmission investment:</w:t>
      </w:r>
      <w:r>
        <w:t xml:space="preserve"> </w:t>
      </w:r>
      <w:r>
        <w:t xml:space="preserve">Exelon has shifted capital from politically sensitive distribution projects toward transmission, where recovery mechanisms and investment visibility are generally stronger.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Easier storm-cost comparison at PECO:</w:t>
      </w:r>
      <w:r>
        <w:t xml:space="preserve"> </w:t>
      </w:r>
      <w:r>
        <w:t xml:space="preserve">Q2 2025 included a major June storm and elevated restoration costs.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Cost control:</w:t>
      </w:r>
      <w:r>
        <w:t xml:space="preserve"> </w:t>
      </w:r>
      <w:r>
        <w:t xml:space="preserve">Management is targeting nearly flat O&amp;M through 2026 and an additional</w:t>
      </w:r>
      <w:r>
        <w:t xml:space="preserve"> </w:t>
      </w:r>
      <w:r>
        <w:rPr>
          <w:b/>
          <w:bCs/>
        </w:rPr>
        <w:t xml:space="preserve">$350 million of savings in 2027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Continued customer growth and large-load interconnections</w:t>
      </w:r>
      <w:r>
        <w:t xml:space="preserve">, especially in ComEd’s Northern Illinois territory.</w:t>
      </w:r>
    </w:p>
    <w:bookmarkEnd w:id="14"/>
    <w:bookmarkStart w:id="15" w:name="offsets-to-watch"/>
    <w:p>
      <w:pPr>
        <w:pStyle w:val="Heading3"/>
      </w:pPr>
      <w:r>
        <w:t xml:space="preserve">Offsets to watch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Higher interest expense</w:t>
      </w:r>
      <w:r>
        <w:t xml:space="preserve">, both at the utilities and holding company.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Depreciation growth</w:t>
      </w:r>
      <w:r>
        <w:t xml:space="preserve"> </w:t>
      </w:r>
      <w:r>
        <w:t xml:space="preserve">from the expanding capital base.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ComEd revenue shaping and timing</w:t>
      </w:r>
      <w:r>
        <w:t xml:space="preserve">, which management specifically included in its low Q2 earnings indication.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Credit-loss expense</w:t>
      </w:r>
      <w:r>
        <w:t xml:space="preserve">, particularly at BGE.</w:t>
      </w:r>
    </w:p>
    <w:p>
      <w:pPr>
        <w:pStyle w:val="Compact"/>
        <w:numPr>
          <w:ilvl w:val="0"/>
          <w:numId w:val="1003"/>
        </w:numPr>
      </w:pPr>
      <w:r>
        <w:t xml:space="preserve">Potential regulatory adjustments or disallowances at Pepco Maryland.</w:t>
      </w:r>
    </w:p>
    <w:p>
      <w:pPr>
        <w:pStyle w:val="Compact"/>
        <w:numPr>
          <w:ilvl w:val="0"/>
          <w:numId w:val="1003"/>
        </w:numPr>
      </w:pPr>
      <w:r>
        <w:t xml:space="preserve">Any restructuring or implementation costs associated with the voluntary separation program and broader cost-reduction effort.</w:t>
      </w:r>
    </w:p>
    <w:p>
      <w:pPr>
        <w:pStyle w:val="FirstParagraph"/>
      </w:pPr>
      <w:r>
        <w:t xml:space="preserve">Revenue is less useful than EPS for judging this report. Large movements in purchased-power and fuel costs generally flow through regulated revenues and can materially change reported sales without producing a comparable earnings impact.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3" w:name="X7da3f55e7b036abdc73a640e9e1ce267192cc66"/>
    <w:p>
      <w:pPr>
        <w:pStyle w:val="Heading2"/>
      </w:pPr>
      <w:r>
        <w:t xml:space="preserve">The central issue: can guidance survive the regulatory backdrop?</w:t>
      </w:r>
    </w:p>
    <w:bookmarkStart w:id="19" w:name="X188e9e2d28682b6e8a6efd1590e0e31badac6d9"/>
    <w:p>
      <w:pPr>
        <w:pStyle w:val="Heading3"/>
      </w:pPr>
      <w:r>
        <w:t xml:space="preserve">1. Delaware has become the newest pressure point</w:t>
      </w:r>
    </w:p>
    <w:p>
      <w:pPr>
        <w:pStyle w:val="FirstParagraph"/>
      </w:pPr>
      <w:r>
        <w:t xml:space="preserve">Delmarva Power implemented an interim electric rate increase on</w:t>
      </w:r>
      <w:r>
        <w:t xml:space="preserve"> </w:t>
      </w:r>
      <w:r>
        <w:rPr>
          <w:b/>
          <w:bCs/>
        </w:rPr>
        <w:t xml:space="preserve">July 9</w:t>
      </w:r>
      <w:r>
        <w:t xml:space="preserve">, while regulators review its request for a $67.8 million permanent increase. Because this occurred after quarter-end, it should have little bearing on reported Q2 earnings but is relevant to the second-half outlook. (</w:t>
      </w:r>
      <w:hyperlink r:id="rId17">
        <w:r>
          <w:rPr>
            <w:rStyle w:val="Hyperlink"/>
          </w:rPr>
          <w:t xml:space="preserve">depsc.delaware.gov</w:t>
        </w:r>
      </w:hyperlink>
      <w:r>
        <w:t xml:space="preserve">)</w:t>
      </w:r>
    </w:p>
    <w:p>
      <w:pPr>
        <w:pStyle w:val="BodyText"/>
      </w:pPr>
      <w:r>
        <w:t xml:space="preserve">More importantly, Delaware enacted Senate Bill 326 on</w:t>
      </w:r>
      <w:r>
        <w:t xml:space="preserve"> </w:t>
      </w:r>
      <w:r>
        <w:rPr>
          <w:b/>
          <w:bCs/>
        </w:rPr>
        <w:t xml:space="preserve">July 13</w:t>
      </w:r>
      <w:r>
        <w:t xml:space="preserve">. The law increases regulatory scrutiny, limits interim-rate collections and restricts recovery of certain “non-mandatory” Delmarva infrastructure spending. (</w:t>
      </w:r>
      <w:hyperlink r:id="rId18">
        <w:r>
          <w:rPr>
            <w:rStyle w:val="Hyperlink"/>
          </w:rPr>
          <w:t xml:space="preserve">legis.delaware.gov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4"/>
        </w:numPr>
      </w:pPr>
      <w:r>
        <w:t xml:space="preserve">Whether the new law changes Delmarva’s planned capital spending</w:t>
      </w:r>
    </w:p>
    <w:p>
      <w:pPr>
        <w:pStyle w:val="Compact"/>
        <w:numPr>
          <w:ilvl w:val="0"/>
          <w:numId w:val="1004"/>
        </w:numPr>
      </w:pPr>
      <w:r>
        <w:t xml:space="preserve">Whether EXC must further reallocate capital toward transmission or other jurisdictions</w:t>
      </w:r>
    </w:p>
    <w:p>
      <w:pPr>
        <w:pStyle w:val="Compact"/>
        <w:numPr>
          <w:ilvl w:val="0"/>
          <w:numId w:val="1004"/>
        </w:numPr>
      </w:pPr>
      <w:r>
        <w:t xml:space="preserve">Any effect on the companywide 7.9% rate-base-growth target</w:t>
      </w:r>
    </w:p>
    <w:p>
      <w:pPr>
        <w:pStyle w:val="Compact"/>
        <w:numPr>
          <w:ilvl w:val="0"/>
          <w:numId w:val="1004"/>
        </w:numPr>
      </w:pPr>
      <w:r>
        <w:t xml:space="preserve">Whether interim-rate collections will be deferred, reduced or subject to meaningful refunds</w:t>
      </w:r>
    </w:p>
    <w:p>
      <w:pPr>
        <w:pStyle w:val="FirstParagraph"/>
      </w:pPr>
      <w:r>
        <w:t xml:space="preserve">Delmarva is not large enough by itself to break the EXC thesis, but the legislation reinforces a broader pattern: policymakers increasingly want utility investment while resisting the corresponding bill increases.</w:t>
      </w:r>
    </w:p>
    <w:bookmarkEnd w:id="19"/>
    <w:bookmarkStart w:id="21" w:name="X46b9ea24a78d473834d9bd77f81d2c5c97ff73a"/>
    <w:p>
      <w:pPr>
        <w:pStyle w:val="Heading3"/>
      </w:pPr>
      <w:r>
        <w:t xml:space="preserve">2. Maryland affordability legislation is now law</w:t>
      </w:r>
    </w:p>
    <w:p>
      <w:pPr>
        <w:pStyle w:val="FirstParagraph"/>
      </w:pPr>
      <w:r>
        <w:t xml:space="preserve">Maryland’s Utility RELIEF Act was signed on</w:t>
      </w:r>
      <w:r>
        <w:t xml:space="preserve"> </w:t>
      </w:r>
      <w:r>
        <w:rPr>
          <w:b/>
          <w:bCs/>
        </w:rPr>
        <w:t xml:space="preserve">May 12</w:t>
      </w:r>
      <w:r>
        <w:t xml:space="preserve">. Among other provisions, it requires data centers to cover infrastructure costs attributable to their projects and changes aspects of the state’s utility regulatory framework. (</w:t>
      </w:r>
      <w:hyperlink r:id="rId20">
        <w:r>
          <w:rPr>
            <w:rStyle w:val="Hyperlink"/>
          </w:rPr>
          <w:t xml:space="preserve">governor.maryland.gov</w:t>
        </w:r>
      </w:hyperlink>
      <w:r>
        <w:t xml:space="preserve">)</w:t>
      </w:r>
    </w:p>
    <w:p>
      <w:pPr>
        <w:pStyle w:val="BodyText"/>
      </w:pPr>
      <w:r>
        <w:t xml:space="preserve">Management had already revised its plan to accommodate the legislation, but investors need confirmation that the initial assessment remains valid. Key items include:</w:t>
      </w:r>
    </w:p>
    <w:p>
      <w:pPr>
        <w:pStyle w:val="Compact"/>
        <w:numPr>
          <w:ilvl w:val="0"/>
          <w:numId w:val="1005"/>
        </w:numPr>
      </w:pPr>
      <w:r>
        <w:t xml:space="preserve">The expected August decision in Pepco Maryland’s rate case</w:t>
      </w:r>
    </w:p>
    <w:p>
      <w:pPr>
        <w:pStyle w:val="Compact"/>
        <w:numPr>
          <w:ilvl w:val="0"/>
          <w:numId w:val="1005"/>
        </w:numPr>
      </w:pPr>
      <w:r>
        <w:t xml:space="preserve">The outlook for BGE and Pepco investment after their current multiyear plans</w:t>
      </w:r>
    </w:p>
    <w:p>
      <w:pPr>
        <w:pStyle w:val="Compact"/>
        <w:numPr>
          <w:ilvl w:val="0"/>
          <w:numId w:val="1005"/>
        </w:numPr>
      </w:pPr>
      <w:r>
        <w:t xml:space="preserve">Potential limits on executive compensation, cost recovery or customer charges</w:t>
      </w:r>
    </w:p>
    <w:p>
      <w:pPr>
        <w:pStyle w:val="Compact"/>
        <w:numPr>
          <w:ilvl w:val="0"/>
          <w:numId w:val="1005"/>
        </w:numPr>
      </w:pPr>
      <w:r>
        <w:t xml:space="preserve">How much future Maryland data-center infrastructure can still enter rate base</w:t>
      </w:r>
    </w:p>
    <w:bookmarkEnd w:id="21"/>
    <w:bookmarkStart w:id="22" w:name="X049c8a9b8031c7f16f9bffc11f06f01575d2240"/>
    <w:p>
      <w:pPr>
        <w:pStyle w:val="Heading3"/>
      </w:pPr>
      <w:r>
        <w:t xml:space="preserve">3. Pennsylvania remains unresolved</w:t>
      </w:r>
    </w:p>
    <w:p>
      <w:pPr>
        <w:pStyle w:val="FirstParagraph"/>
      </w:pPr>
      <w:r>
        <w:t xml:space="preserve">PECO withdrew its proposed electric and gas rate cases in April amid affordability pressure. That drove part of the previous capital-plan reset and contributed to concern about PECO’s credit profile.</w:t>
      </w:r>
    </w:p>
    <w:p>
      <w:pPr>
        <w:pStyle w:val="BodyText"/>
      </w:pPr>
      <w:r>
        <w:t xml:space="preserve">The question now is whether management has established a credible path to:</w:t>
      </w:r>
    </w:p>
    <w:p>
      <w:pPr>
        <w:pStyle w:val="Compact"/>
        <w:numPr>
          <w:ilvl w:val="0"/>
          <w:numId w:val="1006"/>
        </w:numPr>
      </w:pPr>
      <w:r>
        <w:t xml:space="preserve">Refile future cases on acceptable terms</w:t>
      </w:r>
    </w:p>
    <w:p>
      <w:pPr>
        <w:pStyle w:val="Compact"/>
        <w:numPr>
          <w:ilvl w:val="0"/>
          <w:numId w:val="1006"/>
        </w:numPr>
      </w:pPr>
      <w:r>
        <w:t xml:space="preserve">Maintain reliability with less near-term distribution capital</w:t>
      </w:r>
    </w:p>
    <w:p>
      <w:pPr>
        <w:pStyle w:val="Compact"/>
        <w:numPr>
          <w:ilvl w:val="0"/>
          <w:numId w:val="1006"/>
        </w:numPr>
      </w:pPr>
      <w:r>
        <w:t xml:space="preserve">Avoid further credit-rating pressure</w:t>
      </w:r>
    </w:p>
    <w:p>
      <w:pPr>
        <w:pStyle w:val="Compact"/>
        <w:numPr>
          <w:ilvl w:val="0"/>
          <w:numId w:val="1006"/>
        </w:numPr>
      </w:pPr>
      <w:r>
        <w:t xml:space="preserve">Recover investments tied to economic development and data-center demand</w:t>
      </w:r>
    </w:p>
    <w:p>
      <w:pPr>
        <w:pStyle w:val="FirstParagraph"/>
      </w:pPr>
      <w:r>
        <w:t xml:space="preserve">A clear statement that no additional PECO reductions are needed would be constructive.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Xe4beb4c15b81414b0608a5a3c82c3acb1b05ce9"/>
    <w:p>
      <w:pPr>
        <w:pStyle w:val="Heading2"/>
      </w:pPr>
      <w:r>
        <w:t xml:space="preserve">Transmission and data centers: the offset investors need to see</w:t>
      </w:r>
    </w:p>
    <w:p>
      <w:pPr>
        <w:pStyle w:val="FirstParagraph"/>
      </w:pPr>
      <w:r>
        <w:t xml:space="preserve">Transmission is now the most important positive element of EXC’s growth story. The company’s updated plan includes a</w:t>
      </w:r>
      <w:r>
        <w:t xml:space="preserve"> </w:t>
      </w:r>
      <m:oMath>
        <m:r>
          <m:t>1.5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i</m:t>
        </m:r>
        <m:r>
          <m:t>n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t>p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1.1 billion reduction in distribution investment</w:t>
      </w:r>
      <w:r>
        <w:t xml:space="preserve">.</w:t>
      </w:r>
    </w:p>
    <w:p>
      <w:pPr>
        <w:pStyle w:val="BodyText"/>
      </w:pPr>
      <w:r>
        <w:t xml:space="preserve">Exelon has identified</w:t>
      </w:r>
      <w:r>
        <w:t xml:space="preserve"> </w:t>
      </w:r>
      <m:oMath>
        <m:r>
          <m:t>12</m:t>
        </m:r>
        <m:r>
          <m:rPr>
            <m:sty m:val="p"/>
          </m:rPr>
          <m:t>–</m:t>
        </m:r>
      </m:oMath>
      <w:r>
        <w:rPr>
          <w:b/>
          <w:bCs/>
        </w:rPr>
        <w:t xml:space="preserve">17 billion</w:t>
      </w:r>
      <w:r>
        <w:t xml:space="preserve"> </w:t>
      </w:r>
      <w:r>
        <w:t xml:space="preserve">of transmission opportunities beyond the current plan. It also reported approximately</w:t>
      </w:r>
      <w:r>
        <w:t xml:space="preserve"> </w:t>
      </w:r>
      <w:r>
        <w:rPr>
          <w:b/>
          <w:bCs/>
        </w:rPr>
        <w:t xml:space="preserve">18 GW of committed data-center projects</w:t>
      </w:r>
      <w:r>
        <w:t xml:space="preserve">, with customer protections through Transmission Security Agreements. Its opportunity set includes approved PJM projects and partnered MISO bids. (</w:t>
      </w:r>
      <w:hyperlink r:id="rId10">
        <w:r>
          <w:rPr>
            <w:rStyle w:val="Hyperlink"/>
          </w:rPr>
          <w:t xml:space="preserve">investors.exeloncorp.com</w:t>
        </w:r>
      </w:hyperlink>
      <w:r>
        <w:t xml:space="preserve">)</w:t>
      </w:r>
    </w:p>
    <w:p>
      <w:pPr>
        <w:pStyle w:val="BodyText"/>
      </w:pPr>
      <w:r>
        <w:t xml:space="preserve">Useful updates on Thursday would include:</w:t>
      </w:r>
    </w:p>
    <w:p>
      <w:pPr>
        <w:pStyle w:val="Compact"/>
        <w:numPr>
          <w:ilvl w:val="0"/>
          <w:numId w:val="1007"/>
        </w:numPr>
      </w:pPr>
      <w:r>
        <w:t xml:space="preserve">Changes to the committed and high-probability data-center pipeline</w:t>
      </w:r>
    </w:p>
    <w:p>
      <w:pPr>
        <w:pStyle w:val="Compact"/>
        <w:numPr>
          <w:ilvl w:val="0"/>
          <w:numId w:val="1007"/>
        </w:numPr>
      </w:pPr>
      <w:r>
        <w:t xml:space="preserve">Additional signed security agreements or collateral</w:t>
      </w:r>
    </w:p>
    <w:p>
      <w:pPr>
        <w:pStyle w:val="Compact"/>
        <w:numPr>
          <w:ilvl w:val="0"/>
          <w:numId w:val="1007"/>
        </w:numPr>
      </w:pPr>
      <w:r>
        <w:t xml:space="preserve">Progress on the two MISO Tranche 2.1 bids</w:t>
      </w:r>
    </w:p>
    <w:p>
      <w:pPr>
        <w:pStyle w:val="Compact"/>
        <w:numPr>
          <w:ilvl w:val="0"/>
          <w:numId w:val="1007"/>
        </w:numPr>
      </w:pPr>
      <w:r>
        <w:t xml:space="preserve">New PJM competitive-transmission awards</w:t>
      </w:r>
    </w:p>
    <w:p>
      <w:pPr>
        <w:pStyle w:val="Compact"/>
        <w:numPr>
          <w:ilvl w:val="0"/>
          <w:numId w:val="1007"/>
        </w:numPr>
      </w:pPr>
      <w:r>
        <w:t xml:space="preserve">Whether additional transmission spending can enter the 2026–2029 plan</w:t>
      </w:r>
    </w:p>
    <w:p>
      <w:pPr>
        <w:pStyle w:val="Compact"/>
        <w:numPr>
          <w:ilvl w:val="0"/>
          <w:numId w:val="1007"/>
        </w:numPr>
      </w:pPr>
      <w:r>
        <w:t xml:space="preserve">Confirmation that existing customers are insulated from speculative large-load costs</w:t>
      </w:r>
    </w:p>
    <w:p>
      <w:pPr>
        <w:pStyle w:val="FirstParagraph"/>
      </w:pPr>
      <w:r>
        <w:t xml:space="preserve">The quality of load growth matters more than the headline gigawatt number. Investors should favor projects with deposits, signed agreements, completed engineering and firm cost-allocation protections.</w:t>
      </w:r>
    </w:p>
    <w:p>
      <w:r>
        <w:pict>
          <v:rect style="width:0;height:1.5pt" o:hralign="center" o:hrstd="t" o:hr="t"/>
        </w:pict>
      </w:r>
    </w:p>
    <w:bookmarkEnd w:id="24"/>
    <w:bookmarkStart w:id="25" w:name="cost-savings-and-financing"/>
    <w:p>
      <w:pPr>
        <w:pStyle w:val="Heading2"/>
      </w:pPr>
      <w:r>
        <w:t xml:space="preserve">Cost savings and financing</w:t>
      </w:r>
    </w:p>
    <w:p>
      <w:pPr>
        <w:pStyle w:val="FirstParagraph"/>
      </w:pPr>
      <w:r>
        <w:t xml:space="preserve">Management’s plan depends partly on</w:t>
      </w:r>
      <w:r>
        <w:t xml:space="preserve"> </w:t>
      </w:r>
      <w:r>
        <w:rPr>
          <w:b/>
          <w:bCs/>
        </w:rPr>
        <w:t xml:space="preserve">$350 million of incremental 2027 O&amp;M savings</w:t>
      </w:r>
      <w:r>
        <w:t xml:space="preserve">, including lower contractor use, managed hiring, technology and AI deployment, IT prioritization and a targeted voluntary separation program.</w:t>
      </w:r>
    </w:p>
    <w:p>
      <w:pPr>
        <w:pStyle w:val="BodyText"/>
      </w:pPr>
      <w:r>
        <w:t xml:space="preserve">Questions investors should ask:</w:t>
      </w:r>
    </w:p>
    <w:p>
      <w:pPr>
        <w:pStyle w:val="Compact"/>
        <w:numPr>
          <w:ilvl w:val="0"/>
          <w:numId w:val="1008"/>
        </w:numPr>
      </w:pPr>
      <w:r>
        <w:t xml:space="preserve">How much of the $350 million has now been specifically identified?</w:t>
      </w:r>
    </w:p>
    <w:p>
      <w:pPr>
        <w:pStyle w:val="Compact"/>
        <w:numPr>
          <w:ilvl w:val="0"/>
          <w:numId w:val="1008"/>
        </w:numPr>
      </w:pPr>
      <w:r>
        <w:t xml:space="preserve">How much is tied to work that has been eliminated rather than genuine productivity?</w:t>
      </w:r>
    </w:p>
    <w:p>
      <w:pPr>
        <w:pStyle w:val="Compact"/>
        <w:numPr>
          <w:ilvl w:val="0"/>
          <w:numId w:val="1008"/>
        </w:numPr>
      </w:pPr>
      <w:r>
        <w:t xml:space="preserve">What implementation charges will be excluded from adjusted EPS?</w:t>
      </w:r>
    </w:p>
    <w:p>
      <w:pPr>
        <w:pStyle w:val="Compact"/>
        <w:numPr>
          <w:ilvl w:val="0"/>
          <w:numId w:val="1008"/>
        </w:numPr>
      </w:pPr>
      <w:r>
        <w:t xml:space="preserve">Can savings be sustained if deferred distribution projects later return?</w:t>
      </w:r>
    </w:p>
    <w:p>
      <w:pPr>
        <w:pStyle w:val="Compact"/>
        <w:numPr>
          <w:ilvl w:val="0"/>
          <w:numId w:val="1008"/>
        </w:numPr>
      </w:pPr>
      <w:r>
        <w:t xml:space="preserve">Are safety, reliability or regulatory service metrics showing any deterioration?</w:t>
      </w:r>
    </w:p>
    <w:p>
      <w:pPr>
        <w:pStyle w:val="FirstParagraph"/>
      </w:pPr>
      <w:r>
        <w:t xml:space="preserve">Financing execution is another likely source of reassurance. At Q1, Exelon had completed approximately 43% of planned 2026 debt financing and priced roughly 37% of its $3.4 billion equity need through 2029. Management targets credit metrics near 14%, with stated cushion above downgrade thresholds. (</w:t>
      </w:r>
      <w:hyperlink r:id="rId10">
        <w:r>
          <w:rPr>
            <w:rStyle w:val="Hyperlink"/>
          </w:rPr>
          <w:t xml:space="preserve">investors.exeloncorp.com</w:t>
        </w:r>
      </w:hyperlink>
      <w:r>
        <w:t xml:space="preserve">)</w:t>
      </w:r>
    </w:p>
    <w:p>
      <w:pPr>
        <w:pStyle w:val="BodyText"/>
      </w:pPr>
      <w:r>
        <w:t xml:space="preserve">Given the current rate environment, investors will want an updated percentage of debt and equity financing locked in—and confirmation that no additional equity is required.</w:t>
      </w:r>
    </w:p>
    <w:p>
      <w:r>
        <w:pict>
          <v:rect style="width:0;height:1.5pt" o:hralign="center" o:hrstd="t" o:hr="t"/>
        </w:pict>
      </w:r>
    </w:p>
    <w:bookmarkEnd w:id="25"/>
    <w:bookmarkStart w:id="26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EXC closed July 29 at approximately</w:t>
      </w:r>
      <w:r>
        <w:t xml:space="preserve"> </w:t>
      </w:r>
      <w:r>
        <w:rPr>
          <w:b/>
          <w:bCs/>
        </w:rPr>
        <w:t xml:space="preserve">$46.82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t xml:space="preserve">About</w:t>
      </w:r>
      <w:r>
        <w:t xml:space="preserve"> </w:t>
      </w:r>
      <w:r>
        <w:rPr>
          <w:b/>
          <w:bCs/>
        </w:rPr>
        <w:t xml:space="preserve">6.6% higher year to date</w:t>
      </w:r>
      <w:r>
        <w:t xml:space="preserve">, versus roughly 4.2% for XLU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16.4×</w:t>
      </w:r>
      <w:r>
        <w:t xml:space="preserve"> </w:t>
      </w:r>
      <w:r>
        <w:t xml:space="preserve">the $2.86 guidance midpoint</w:t>
      </w:r>
    </w:p>
    <w:p>
      <w:pPr>
        <w:pStyle w:val="Compact"/>
        <w:numPr>
          <w:ilvl w:val="0"/>
          <w:numId w:val="1009"/>
        </w:numPr>
      </w:pPr>
      <w:r>
        <w:t xml:space="preserve">About a</w:t>
      </w:r>
      <w:r>
        <w:t xml:space="preserve"> </w:t>
      </w:r>
      <w:r>
        <w:rPr>
          <w:b/>
          <w:bCs/>
        </w:rPr>
        <w:t xml:space="preserve">3.6% annualized dividend yield</w:t>
      </w:r>
      <w:r>
        <w:t xml:space="preserve"> </w:t>
      </w:r>
      <w:r>
        <w:t xml:space="preserve">based on the current $0.42 quarterly dividend</w:t>
      </w:r>
    </w:p>
    <w:p>
      <w:pPr>
        <w:pStyle w:val="FirstParagraph"/>
      </w:pPr>
      <w:r>
        <w:t xml:space="preserve">The valuation is not distressed, but it also does not appear to price in a major acceleration beyond current guidance. The stock’s reaction to the Q1 report—falling despite a headline EPS beat—showed that investors are much more sensitive to regulatory quality and capital-plan durability than to a few cents of quarterly upside.</w:t>
      </w:r>
    </w:p>
    <w:p>
      <w:r>
        <w:pict>
          <v:rect style="width:0;height:1.5pt" o:hralign="center" o:hrstd="t" o:hr="t"/>
        </w:pict>
      </w:r>
    </w:p>
    <w:bookmarkEnd w:id="26"/>
    <w:bookmarkStart w:id="30" w:name="Xedeb3e8b8b6b50bd9ad09e91404d25836e6b0e2"/>
    <w:p>
      <w:pPr>
        <w:pStyle w:val="Heading2"/>
      </w:pPr>
      <w:r>
        <w:t xml:space="preserve">What would constitute a good or bad report?</w:t>
      </w:r>
    </w:p>
    <w:bookmarkStart w:id="27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10"/>
        </w:numPr>
      </w:pPr>
      <w:r>
        <w:t xml:space="preserve">Adjusted EPS of roughly</w:t>
      </w:r>
      <w:r>
        <w:t xml:space="preserve"> </w:t>
      </w:r>
      <w:r>
        <w:rPr>
          <w:b/>
          <w:bCs/>
        </w:rPr>
        <w:t xml:space="preserve">$0.45 or better</w:t>
      </w:r>
    </w:p>
    <w:p>
      <w:pPr>
        <w:pStyle w:val="Compact"/>
        <w:numPr>
          <w:ilvl w:val="0"/>
          <w:numId w:val="1010"/>
        </w:numPr>
      </w:pPr>
      <w:r>
        <w:t xml:space="preserve">Full-year guidance reaffirmed with a stated goal of achieving midpoint or better</w:t>
      </w:r>
    </w:p>
    <w:p>
      <w:pPr>
        <w:pStyle w:val="Compact"/>
        <w:numPr>
          <w:ilvl w:val="0"/>
          <w:numId w:val="1010"/>
        </w:numPr>
      </w:pPr>
      <w:r>
        <w:t xml:space="preserve">No further reduction to the $41.7 billion capital plan or 7.9% rate-base CAGR</w:t>
      </w:r>
    </w:p>
    <w:p>
      <w:pPr>
        <w:pStyle w:val="Compact"/>
        <w:numPr>
          <w:ilvl w:val="0"/>
          <w:numId w:val="1010"/>
        </w:numPr>
      </w:pPr>
      <w:r>
        <w:t xml:space="preserve">Constructive explanation of the Delaware legislation</w:t>
      </w:r>
    </w:p>
    <w:p>
      <w:pPr>
        <w:pStyle w:val="Compact"/>
        <w:numPr>
          <w:ilvl w:val="0"/>
          <w:numId w:val="1010"/>
        </w:numPr>
      </w:pPr>
      <w:r>
        <w:t xml:space="preserve">Strong progress on the $350 million savings program</w:t>
      </w:r>
    </w:p>
    <w:p>
      <w:pPr>
        <w:pStyle w:val="Compact"/>
        <w:numPr>
          <w:ilvl w:val="0"/>
          <w:numId w:val="1010"/>
        </w:numPr>
      </w:pPr>
      <w:r>
        <w:t xml:space="preserve">Additional transmission awards or secured data-center commitments</w:t>
      </w:r>
    </w:p>
    <w:p>
      <w:pPr>
        <w:pStyle w:val="Compact"/>
        <w:numPr>
          <w:ilvl w:val="0"/>
          <w:numId w:val="1010"/>
        </w:numPr>
      </w:pPr>
      <w:r>
        <w:t xml:space="preserve">Financing plan increasingly locked in with no added equity</w:t>
      </w:r>
    </w:p>
    <w:bookmarkEnd w:id="27"/>
    <w:bookmarkStart w:id="28" w:name="neutral-outcome"/>
    <w:p>
      <w:pPr>
        <w:pStyle w:val="Heading3"/>
      </w:pPr>
      <w:r>
        <w:t xml:space="preserve">Neutral outcome</w:t>
      </w:r>
    </w:p>
    <w:p>
      <w:pPr>
        <w:pStyle w:val="Compact"/>
        <w:numPr>
          <w:ilvl w:val="0"/>
          <w:numId w:val="1011"/>
        </w:numPr>
      </w:pPr>
      <w:r>
        <w:t xml:space="preserve">EPS around</w:t>
      </w:r>
      <w:r>
        <w:t xml:space="preserve"> </w:t>
      </w:r>
      <m:oMath>
        <m:r>
          <m:t>0.42</m:t>
        </m:r>
        <m:r>
          <m:rPr>
            <m:sty m:val="p"/>
          </m:rPr>
          <m:t>–</m:t>
        </m:r>
      </m:oMath>
      <w:r>
        <w:rPr>
          <w:b/>
          <w:bCs/>
        </w:rPr>
        <w:t xml:space="preserve">0.44</w:t>
      </w:r>
    </w:p>
    <w:p>
      <w:pPr>
        <w:pStyle w:val="Compact"/>
        <w:numPr>
          <w:ilvl w:val="0"/>
          <w:numId w:val="1011"/>
        </w:numPr>
      </w:pPr>
      <w:r>
        <w:t xml:space="preserve">Guidance and long-term growth outlook reaffirmed</w:t>
      </w:r>
    </w:p>
    <w:p>
      <w:pPr>
        <w:pStyle w:val="Compact"/>
        <w:numPr>
          <w:ilvl w:val="0"/>
          <w:numId w:val="1011"/>
        </w:numPr>
      </w:pPr>
      <w:r>
        <w:t xml:space="preserve">No material capital-plan change</w:t>
      </w:r>
    </w:p>
    <w:p>
      <w:pPr>
        <w:pStyle w:val="Compact"/>
        <w:numPr>
          <w:ilvl w:val="0"/>
          <w:numId w:val="1011"/>
        </w:numPr>
      </w:pPr>
      <w:r>
        <w:t xml:space="preserve">Management defers detailed Delaware and Pepco Maryland conclusions until later regulatory decisions</w:t>
      </w:r>
    </w:p>
    <w:bookmarkEnd w:id="28"/>
    <w:bookmarkStart w:id="29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2"/>
        </w:numPr>
      </w:pPr>
      <w:r>
        <w:t xml:space="preserve">EPS below approximately</w:t>
      </w:r>
      <w:r>
        <w:t xml:space="preserve"> </w:t>
      </w:r>
      <w:r>
        <w:rPr>
          <w:b/>
          <w:bCs/>
        </w:rPr>
        <w:t xml:space="preserve">$0.40</w:t>
      </w:r>
    </w:p>
    <w:p>
      <w:pPr>
        <w:pStyle w:val="Compact"/>
        <w:numPr>
          <w:ilvl w:val="0"/>
          <w:numId w:val="1012"/>
        </w:numPr>
      </w:pPr>
      <w:r>
        <w:t xml:space="preserve">Guidance reduced or midpoint aspiration withdrawn</w:t>
      </w:r>
    </w:p>
    <w:p>
      <w:pPr>
        <w:pStyle w:val="Compact"/>
        <w:numPr>
          <w:ilvl w:val="0"/>
          <w:numId w:val="1012"/>
        </w:numPr>
      </w:pPr>
      <w:r>
        <w:t xml:space="preserve">Another cut or deferral to distribution capital</w:t>
      </w:r>
    </w:p>
    <w:p>
      <w:pPr>
        <w:pStyle w:val="Compact"/>
        <w:numPr>
          <w:ilvl w:val="0"/>
          <w:numId w:val="1012"/>
        </w:numPr>
      </w:pPr>
      <w:r>
        <w:t xml:space="preserve">Lower rate-base-growth expectations</w:t>
      </w:r>
    </w:p>
    <w:p>
      <w:pPr>
        <w:pStyle w:val="Compact"/>
        <w:numPr>
          <w:ilvl w:val="0"/>
          <w:numId w:val="1012"/>
        </w:numPr>
      </w:pPr>
      <w:r>
        <w:t xml:space="preserve">Indication that Delaware’s new law materially impairs recovery</w:t>
      </w:r>
    </w:p>
    <w:p>
      <w:pPr>
        <w:pStyle w:val="Compact"/>
        <w:numPr>
          <w:ilvl w:val="0"/>
          <w:numId w:val="1012"/>
        </w:numPr>
      </w:pPr>
      <w:r>
        <w:t xml:space="preserve">Higher equity needs or weaker credit metrics</w:t>
      </w:r>
    </w:p>
    <w:p>
      <w:pPr>
        <w:pStyle w:val="Compact"/>
        <w:numPr>
          <w:ilvl w:val="0"/>
          <w:numId w:val="1012"/>
        </w:numPr>
      </w:pPr>
      <w:r>
        <w:t xml:space="preserve">Savings dependent on deferrals that create future reliability or service risk</w:t>
      </w:r>
    </w:p>
    <w:bookmarkEnd w:id="29"/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most likely result is an unremarkable quarterly EPS print accompanied by reaffirmed annual guidance. But the stock’s response will depend on whether management can show that the</w:t>
      </w:r>
      <w:r>
        <w:t xml:space="preserve"> </w:t>
      </w:r>
      <w:r>
        <w:rPr>
          <w:b/>
          <w:bCs/>
        </w:rPr>
        <w:t xml:space="preserve">May capital-plan reset was sufficient</w:t>
      </w:r>
      <w:r>
        <w:t xml:space="preserve">.</w:t>
      </w:r>
    </w:p>
    <w:p>
      <w:pPr>
        <w:pStyle w:val="BodyText"/>
      </w:pPr>
      <w:r>
        <w:t xml:space="preserve">The key sentence investors want to hear is effectively:</w:t>
      </w:r>
      <w:r>
        <w:t xml:space="preserve"> </w:t>
      </w:r>
      <w:r>
        <w:rPr>
          <w:b/>
          <w:bCs/>
        </w:rPr>
        <w:t xml:space="preserve">Despite the new Maryland and Delaware rules and the PECO rate-case withdrawal, Exelon can still deliver</w:t>
      </w:r>
      <w:r>
        <w:rPr>
          <w:b/>
          <w:bCs/>
        </w:rPr>
        <w:t xml:space="preserve"> </w:t>
      </w:r>
      <m:oMath>
        <m:r>
          <m:t>2.81</m:t>
        </m:r>
        <m:r>
          <m:rPr>
            <m:sty m:val="p"/>
          </m:rPr>
          <m:t>–</m:t>
        </m:r>
      </m:oMath>
      <w:r>
        <w:rPr>
          <w:b/>
          <w:bCs/>
        </w:rPr>
        <w:t xml:space="preserve">2.91 in 2026, near-7% long-term EPS growth, and 7.9% rate-base growth without additional capital reductions or equity.</w:t>
      </w:r>
    </w:p>
    <w:p>
      <w:pPr>
        <w:pStyle w:val="BodyText"/>
      </w:pPr>
      <w:r>
        <w:t xml:space="preserve">If management can credibly make that case—and provide incremental transmission or data-center evidence—the report should be supportive. If the regulatory reset is still expanding, even an EPS beat may not be enough.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https://depsc.delaware.gov/2026/07/10/2026-delmarva-interim-rate-increase-implementation/" TargetMode="External" /><Relationship Type="http://schemas.openxmlformats.org/officeDocument/2006/relationships/hyperlink" Id="rId20" Target="https://governor.maryland.gov/news/press-releases/governor-moore-signs-landmark-legislation-lower-energy-costs-maryland-families-and-strengthen" TargetMode="External" /><Relationship Type="http://schemas.openxmlformats.org/officeDocument/2006/relationships/hyperlink" Id="rId9" Target="https://investors.exeloncorp.com/events/event-details/q2-2026-exelon-corporation-earnings-conference-call/" TargetMode="External" /><Relationship Type="http://schemas.openxmlformats.org/officeDocument/2006/relationships/hyperlink" Id="rId10" Target="https://investors.exeloncorp.com/static-files/6245757c-517f-41cb-8ea9-176744eb15dc" TargetMode="External" /><Relationship Type="http://schemas.openxmlformats.org/officeDocument/2006/relationships/hyperlink" Id="rId18" Target="https://legis.delaware.gov/BillDetail/143336" TargetMode="External" /><Relationship Type="http://schemas.openxmlformats.org/officeDocument/2006/relationships/hyperlink" Id="rId12" Target="https://www.marketbeat.com/earnings/reports/2026-7-30-exelon-co-stock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depsc.delaware.gov/2026/07/10/2026-delmarva-interim-rate-increase-implementation/" TargetMode="External" /><Relationship Type="http://schemas.openxmlformats.org/officeDocument/2006/relationships/hyperlink" Id="rId20" Target="https://governor.maryland.gov/news/press-releases/governor-moore-signs-landmark-legislation-lower-energy-costs-maryland-families-and-strengthen" TargetMode="External" /><Relationship Type="http://schemas.openxmlformats.org/officeDocument/2006/relationships/hyperlink" Id="rId9" Target="https://investors.exeloncorp.com/events/event-details/q2-2026-exelon-corporation-earnings-conference-call/" TargetMode="External" /><Relationship Type="http://schemas.openxmlformats.org/officeDocument/2006/relationships/hyperlink" Id="rId10" Target="https://investors.exeloncorp.com/static-files/6245757c-517f-41cb-8ea9-176744eb15dc" TargetMode="External" /><Relationship Type="http://schemas.openxmlformats.org/officeDocument/2006/relationships/hyperlink" Id="rId18" Target="https://legis.delaware.gov/BillDetail/143336" TargetMode="External" /><Relationship Type="http://schemas.openxmlformats.org/officeDocument/2006/relationships/hyperlink" Id="rId12" Target="https://www.marketbeat.com/earnings/reports/2026-7-30-exelon-co-stock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2026-07-29T18:54:43Z</dcterms:created>
  <dcterms:modified xsi:type="dcterms:W3CDTF">2026-07-29T18:54:43Z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