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c-earnings-predictions--2026-07-30"/>
    <w:p>
      <w:pPr>
        <w:pStyle w:val="Heading1"/>
      </w:pPr>
      <w:r>
        <w:t xml:space="preserve">EXC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~$0.43 vs. cons $0.43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~$0.42 vs. cons $0.42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~$1.01B vs. cons $0.99B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~$2.86 vs. cons $2.86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deployment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~$10.0B vs. cons $10.0B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2026-2029 rate-base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~7.9% vs. cons 7.9% (2026-2029)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operating EPS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midpoint vs. cons 6.0% midpoint (2025-2029)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(STABILIZE)</w:t>
            </w:r>
          </w:p>
        </w:tc>
        <w:tc>
          <w:tcPr/>
          <w:p>
            <w:pPr>
              <w:pStyle w:val="Compact"/>
            </w:pPr>
            <w:r>
              <w:t xml:space="preserve">A roughly in-line $0.43 print versus $0.43 consensus and unchanged $2.86 FY2026 midpoint versus $2.86 consensus leave out-period EPS math intact, but limited incremental certainty on PECO refiling, authorized returns, and credit protection should cap multiple expansion.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2026-07-29T18:53:03Z</dcterms:created>
  <dcterms:modified xsi:type="dcterms:W3CDTF">2026-07-29T18:53:03Z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