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exelon-exc--2q26-earnings-preview"/>
    <w:p>
      <w:pPr>
        <w:pStyle w:val="Heading1"/>
      </w:pPr>
      <w:r>
        <w:t xml:space="preserve">Exelon (EXC) — 2Q26 Earnings Preview</w:t>
      </w:r>
    </w:p>
    <w:p>
      <w:pPr>
        <w:pStyle w:val="FirstParagraph"/>
      </w:pPr>
      <w:r>
        <w:rPr>
          <w:b/>
          <w:bCs/>
        </w:rPr>
        <w:t xml:space="preserve">Earnings date:</w:t>
      </w:r>
      <w:r>
        <w:t xml:space="preserve"> </w:t>
      </w:r>
      <w:r>
        <w:t xml:space="preserve">Thursday, July 30, 2026</w:t>
      </w:r>
      <w:r>
        <w:br/>
      </w:r>
      <w:r>
        <w:rPr>
          <w:b/>
          <w:bCs/>
        </w:rPr>
        <w:t xml:space="preserve">Event:</w:t>
      </w:r>
      <w:r>
        <w:t xml:space="preserve"> </w:t>
      </w:r>
      <w:r>
        <w:t xml:space="preserve">2026Q2 Earnings Call</w:t>
      </w:r>
    </w:p>
    <w:bookmarkStart w:id="9" w:name="Xb1827c1ae7b57badb70117b755bf4e43112129a"/>
    <w:p>
      <w:pPr>
        <w:pStyle w:val="Heading2"/>
      </w:pPr>
      <w:r>
        <w:t xml:space="preserve">Investment view: the quarter matters less than the durability of the plan</w:t>
      </w:r>
    </w:p>
    <w:p>
      <w:pPr>
        <w:pStyle w:val="FirstParagraph"/>
      </w:pPr>
      <w:r>
        <w:t xml:space="preserve">Exelon enters 2Q26 with its full-year framework intact but with a more complicated regulatory and affordability backdrop than it had at the start of the year. The central question is not likely to be whether EXC can deliver a seasonally light second quarter; management effectively pre-signaled that outcome in May. The more important issue is whether the company can demonstrate that its revised capital program, transmission pivot, and cost actions preserve its ability to achieve earnings growth near the top of its 5%–7% long-term range despite pressure in Pennsylvania and Maryland.</w:t>
      </w:r>
    </w:p>
    <w:p>
      <w:pPr>
        <w:pStyle w:val="BodyText"/>
      </w:pPr>
      <w:r>
        <w:t xml:space="preserve">The setup is balanced:</w:t>
      </w:r>
    </w:p>
    <w:p>
      <w:pPr>
        <w:pStyle w:val="Compact"/>
        <w:numPr>
          <w:ilvl w:val="0"/>
          <w:numId w:val="1001"/>
        </w:numPr>
      </w:pPr>
      <w:r>
        <w:rPr>
          <w:b/>
          <w:bCs/>
        </w:rPr>
        <w:t xml:space="preserve">Supportive:</w:t>
      </w:r>
      <w:r>
        <w:t xml:space="preserve"> </w:t>
      </w:r>
      <w:r>
        <w:t xml:space="preserve">regulated T&amp;D earnings, a $41.7 billion four-year capital plan, 7.9% planned rate-base growth, accelerating transmission investment, and management’s reaffirmed goal of reaching the midpoint or better of 2026 guidance.</w:t>
      </w:r>
    </w:p>
    <w:p>
      <w:pPr>
        <w:pStyle w:val="Compact"/>
        <w:numPr>
          <w:ilvl w:val="0"/>
          <w:numId w:val="1001"/>
        </w:numPr>
      </w:pPr>
      <w:r>
        <w:rPr>
          <w:b/>
          <w:bCs/>
        </w:rPr>
        <w:t xml:space="preserve">Key risks:</w:t>
      </w:r>
      <w:r>
        <w:t xml:space="preserve"> </w:t>
      </w:r>
      <w:r>
        <w:t xml:space="preserve">customer-affordability pressure, delayed or less constructive rate recovery—especially at PECO—higher financing costs, and potential dilution from the equity plan.</w:t>
      </w:r>
    </w:p>
    <w:p>
      <w:pPr>
        <w:pStyle w:val="Compact"/>
        <w:numPr>
          <w:ilvl w:val="0"/>
          <w:numId w:val="1001"/>
        </w:numPr>
      </w:pPr>
      <w:r>
        <w:rPr>
          <w:b/>
          <w:bCs/>
        </w:rPr>
        <w:t xml:space="preserve">Primary catalyst:</w:t>
      </w:r>
      <w:r>
        <w:t xml:space="preserve"> </w:t>
      </w:r>
      <w:r>
        <w:t xml:space="preserve">evidence that transmission and large-load/data-center interconnections can replace deferred distribution spending without weakening earnings or credit-quality targets.</w:t>
      </w:r>
    </w:p>
    <w:bookmarkEnd w:id="9"/>
    <w:bookmarkStart w:id="10" w:name="X399f875e25ba301bdbbad9b32bbc3d8063b786d"/>
    <w:p>
      <w:pPr>
        <w:pStyle w:val="Heading2"/>
      </w:pPr>
      <w:r>
        <w:t xml:space="preserve">What management has already told investors</w:t>
      </w:r>
    </w:p>
    <w:p>
      <w:pPr>
        <w:pStyle w:val="FirstParagraph"/>
      </w:pPr>
      <w:r>
        <w:t xml:space="preserve">In its May 6 first-quarter report, Exelon earned</w:t>
      </w:r>
      <w:r>
        <w:t xml:space="preserve"> </w:t>
      </w:r>
      <w:r>
        <w:rPr>
          <w:b/>
          <w:bCs/>
        </w:rPr>
        <w:t xml:space="preserve">$0.91 per share in adjusted operating earnings</w:t>
      </w:r>
      <w:r>
        <w:t xml:space="preserve">, modestly above expectations due largely to favorable weather and timing. Management reaffirmed: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jc w:val="right"/>
            </w:pPr>
            <w:r>
              <w:t xml:space="preserve">2026 Outlook / Disclosure</w:t>
            </w:r>
          </w:p>
        </w:tc>
      </w:tr>
      <w:tr>
        <w:tc>
          <w:tcPr/>
          <w:p>
            <w:pPr>
              <w:pStyle w:val="Compact"/>
            </w:pPr>
            <w:r>
              <w:t xml:space="preserve">Adjusted operating EPS guidance</w:t>
            </w:r>
          </w:p>
        </w:tc>
        <w:tc>
          <w:tcPr/>
          <w:p>
            <w:pPr>
              <w:pStyle w:val="Compact"/>
              <w:jc w:val="right"/>
            </w:pPr>
            <m:oMath>
              <m:r>
                <m:t>2.81</m:t>
              </m:r>
              <m:r>
                <m:rPr>
                  <m:sty m:val="p"/>
                </m:rPr>
                <m:t>–</m:t>
              </m:r>
            </m:oMath>
            <w:r>
              <w:rPr>
                <w:b/>
                <w:bCs/>
              </w:rPr>
              <w:t xml:space="preserve">2.91</w:t>
            </w:r>
          </w:p>
        </w:tc>
      </w:tr>
      <w:tr>
        <w:tc>
          <w:tcPr/>
          <w:p>
            <w:pPr>
              <w:pStyle w:val="Compact"/>
            </w:pPr>
            <w:r>
              <w:t xml:space="preserve">Midpoint</w:t>
            </w:r>
          </w:p>
        </w:tc>
        <w:tc>
          <w:tcPr/>
          <w:p>
            <w:pPr>
              <w:pStyle w:val="Compact"/>
              <w:jc w:val="right"/>
            </w:pPr>
            <w:r>
              <w:rPr>
                <w:b/>
                <w:bCs/>
              </w:rPr>
              <w:t xml:space="preserve">$2.86</w:t>
            </w:r>
          </w:p>
        </w:tc>
      </w:tr>
      <w:tr>
        <w:tc>
          <w:tcPr/>
          <w:p>
            <w:pPr>
              <w:pStyle w:val="Compact"/>
            </w:pPr>
            <w:r>
              <w:t xml:space="preserve">Long-term operating EPS growth</w:t>
            </w:r>
          </w:p>
        </w:tc>
        <w:tc>
          <w:tcPr/>
          <w:p>
            <w:pPr>
              <w:pStyle w:val="Compact"/>
              <w:jc w:val="right"/>
            </w:pPr>
            <w:r>
              <w:rPr>
                <w:b/>
                <w:bCs/>
              </w:rPr>
              <w:t xml:space="preserve">5%–7% through 2029</w:t>
            </w:r>
            <w:r>
              <w:t xml:space="preserve">, targeting the upper end</w:t>
            </w:r>
          </w:p>
        </w:tc>
      </w:tr>
      <w:tr>
        <w:tc>
          <w:tcPr/>
          <w:p>
            <w:pPr>
              <w:pStyle w:val="Compact"/>
            </w:pPr>
            <w:r>
              <w:t xml:space="preserve">2026 capital deployment</w:t>
            </w:r>
          </w:p>
        </w:tc>
        <w:tc>
          <w:tcPr/>
          <w:p>
            <w:pPr>
              <w:pStyle w:val="Compact"/>
              <w:jc w:val="right"/>
            </w:pPr>
            <w:r>
              <w:t xml:space="preserve">Nearly</w:t>
            </w:r>
            <w:r>
              <w:t xml:space="preserve"> </w:t>
            </w:r>
            <w:r>
              <w:rPr>
                <w:b/>
                <w:bCs/>
              </w:rPr>
              <w:t xml:space="preserve">$10 billion</w:t>
            </w:r>
          </w:p>
        </w:tc>
      </w:tr>
      <w:tr>
        <w:tc>
          <w:tcPr/>
          <w:p>
            <w:pPr>
              <w:pStyle w:val="Compact"/>
            </w:pPr>
            <w:r>
              <w:t xml:space="preserve">Four-year capital plan</w:t>
            </w:r>
          </w:p>
        </w:tc>
        <w:tc>
          <w:tcPr/>
          <w:p>
            <w:pPr>
              <w:pStyle w:val="Compact"/>
              <w:jc w:val="right"/>
            </w:pPr>
            <w:r>
              <w:rPr>
                <w:b/>
                <w:bCs/>
              </w:rPr>
              <w:t xml:space="preserve">$41.7 billion</w:t>
            </w:r>
          </w:p>
        </w:tc>
      </w:tr>
      <w:tr>
        <w:tc>
          <w:tcPr/>
          <w:p>
            <w:pPr>
              <w:pStyle w:val="Compact"/>
            </w:pPr>
            <w:r>
              <w:t xml:space="preserve">Revised rate-base CAGR</w:t>
            </w:r>
          </w:p>
        </w:tc>
        <w:tc>
          <w:tcPr/>
          <w:p>
            <w:pPr>
              <w:pStyle w:val="Compact"/>
              <w:jc w:val="right"/>
            </w:pPr>
            <w:r>
              <w:rPr>
                <w:b/>
                <w:bCs/>
              </w:rPr>
              <w:t xml:space="preserve">7.9%</w:t>
            </w:r>
          </w:p>
        </w:tc>
      </w:tr>
      <w:tr>
        <w:tc>
          <w:tcPr/>
          <w:p>
            <w:pPr>
              <w:pStyle w:val="Compact"/>
            </w:pPr>
            <w:r>
              <w:t xml:space="preserve">Transmission rate-base CAGR through 2029</w:t>
            </w:r>
          </w:p>
        </w:tc>
        <w:tc>
          <w:tcPr/>
          <w:p>
            <w:pPr>
              <w:pStyle w:val="Compact"/>
              <w:jc w:val="right"/>
            </w:pPr>
            <w:r>
              <w:rPr>
                <w:b/>
                <w:bCs/>
              </w:rPr>
              <w:t xml:space="preserve">16%</w:t>
            </w:r>
          </w:p>
        </w:tc>
      </w:tr>
      <w:tr>
        <w:tc>
          <w:tcPr/>
          <w:p>
            <w:pPr>
              <w:pStyle w:val="Compact"/>
            </w:pPr>
            <w:r>
              <w:t xml:space="preserve">Incremental 2027 O&amp;M savings target</w:t>
            </w:r>
          </w:p>
        </w:tc>
        <w:tc>
          <w:tcPr/>
          <w:p>
            <w:pPr>
              <w:pStyle w:val="Compact"/>
              <w:jc w:val="right"/>
            </w:pPr>
            <w:r>
              <w:rPr>
                <w:b/>
                <w:bCs/>
              </w:rPr>
              <w:t xml:space="preserve">$350 million</w:t>
            </w:r>
          </w:p>
        </w:tc>
      </w:tr>
      <w:tr>
        <w:tc>
          <w:tcPr/>
          <w:p>
            <w:pPr>
              <w:pStyle w:val="Compact"/>
            </w:pPr>
            <w:r>
              <w:t xml:space="preserve">Planned equity funding through 2029</w:t>
            </w:r>
          </w:p>
        </w:tc>
        <w:tc>
          <w:tcPr/>
          <w:p>
            <w:pPr>
              <w:pStyle w:val="Compact"/>
              <w:jc w:val="right"/>
            </w:pPr>
            <w:r>
              <w:rPr>
                <w:b/>
                <w:bCs/>
              </w:rPr>
              <w:t xml:space="preserve">$3.4 billion</w:t>
            </w:r>
          </w:p>
        </w:tc>
      </w:tr>
    </w:tbl>
    <w:p>
      <w:pPr>
        <w:pStyle w:val="BodyText"/>
      </w:pPr>
      <w:r>
        <w:t xml:space="preserve">Most importantly for the near-term print, management guided 2Q26 earnings to roughly</w:t>
      </w:r>
      <w:r>
        <w:t xml:space="preserve"> </w:t>
      </w:r>
      <w:r>
        <w:rPr>
          <w:b/>
          <w:bCs/>
        </w:rPr>
        <w:t xml:space="preserve">15% of the</w:t>
      </w:r>
      <w:r>
        <w:rPr>
          <w:b/>
          <w:bCs/>
        </w:rPr>
        <w:t xml:space="preserve"> </w:t>
      </w:r>
      <m:oMath>
        <m:r>
          <m:t>2.86</m:t>
        </m:r>
        <m:r>
          <m:t>m</m:t>
        </m:r>
        <m:r>
          <m:t>i</m:t>
        </m:r>
        <m:r>
          <m:t>d</m:t>
        </m:r>
        <m:r>
          <m:t>p</m:t>
        </m:r>
        <m:r>
          <m:t>o</m:t>
        </m:r>
        <m:r>
          <m:t>i</m:t>
        </m:r>
        <m:r>
          <m:t>n</m:t>
        </m:r>
        <m:r>
          <m:t>t</m:t>
        </m:r>
        <m:r>
          <m:rPr>
            <m:sty m:val="p"/>
          </m:rPr>
          <m:t>*</m:t>
        </m:r>
        <m:r>
          <m:rPr>
            <m:sty m:val="p"/>
          </m:rPr>
          <m:t>*</m:t>
        </m:r>
        <m:r>
          <m:rPr>
            <m:sty m:val="p"/>
          </m:rPr>
          <m:t>,</m:t>
        </m:r>
        <m:r>
          <m:t>i</m:t>
        </m:r>
        <m:r>
          <m:t>m</m:t>
        </m:r>
        <m:r>
          <m:t>p</m:t>
        </m:r>
        <m:r>
          <m:t>l</m:t>
        </m:r>
        <m:r>
          <m:t>y</m:t>
        </m:r>
        <m:r>
          <m:t>i</m:t>
        </m:r>
        <m:r>
          <m:t>n</m:t>
        </m:r>
        <m:r>
          <m:t>g</m:t>
        </m:r>
        <m:r>
          <m:t>a</m:t>
        </m:r>
        <m:r>
          <m:t>p</m:t>
        </m:r>
        <m:r>
          <m:t>p</m:t>
        </m:r>
        <m:r>
          <m:t>r</m:t>
        </m:r>
        <m:r>
          <m:t>o</m:t>
        </m:r>
        <m:r>
          <m:t>x</m:t>
        </m:r>
        <m:r>
          <m:t>i</m:t>
        </m:r>
        <m:r>
          <m:t>m</m:t>
        </m:r>
        <m:r>
          <m:t>a</m:t>
        </m:r>
        <m:r>
          <m:t>t</m:t>
        </m:r>
        <m:r>
          <m:t>e</m:t>
        </m:r>
        <m:r>
          <m:t>l</m:t>
        </m:r>
        <m:r>
          <m:t>y</m:t>
        </m:r>
        <m:r>
          <m:rPr>
            <m:sty m:val="p"/>
          </m:rPr>
          <m:t>*</m:t>
        </m:r>
        <m:r>
          <m:rPr>
            <m:sty m:val="p"/>
          </m:rPr>
          <m:t>*</m:t>
        </m:r>
      </m:oMath>
      <w:r>
        <w:rPr>
          <w:b/>
          <w:bCs/>
        </w:rPr>
        <w:t xml:space="preserve">0.43 per share</w:t>
      </w:r>
      <w:r>
        <w:t xml:space="preserve">. Combined with 1Q’s</w:t>
      </w:r>
      <w:r>
        <w:t xml:space="preserve"> </w:t>
      </w:r>
      <m:oMath>
        <m:r>
          <m:t>0.91</m:t>
        </m:r>
        <m:r>
          <m:rPr>
            <m:sty m:val="p"/>
          </m:rPr>
          <m:t>,</m:t>
        </m:r>
        <m:r>
          <m:t>t</m:t>
        </m:r>
        <m:r>
          <m:t>h</m:t>
        </m:r>
        <m:r>
          <m:t>a</m:t>
        </m:r>
        <m:r>
          <m:t>t</m:t>
        </m:r>
        <m:r>
          <m:t>w</m:t>
        </m:r>
        <m:r>
          <m:t>o</m:t>
        </m:r>
        <m:r>
          <m:t>u</m:t>
        </m:r>
        <m:r>
          <m:t>l</m:t>
        </m:r>
        <m:r>
          <m:t>d</m:t>
        </m:r>
        <m:r>
          <m:t>p</m:t>
        </m:r>
        <m:r>
          <m:t>u</m:t>
        </m:r>
        <m:r>
          <m:t>t</m:t>
        </m:r>
        <m:r>
          <m:t>f</m:t>
        </m:r>
        <m:r>
          <m:t>i</m:t>
        </m:r>
        <m:r>
          <m:t>r</m:t>
        </m:r>
        <m:r>
          <m:t>s</m:t>
        </m:r>
        <m:r>
          <m:t>t</m:t>
        </m:r>
        <m:r>
          <m:rPr>
            <m:sty m:val="p"/>
          </m:rPr>
          <m:t>−</m:t>
        </m:r>
        <m:r>
          <m:t>h</m:t>
        </m:r>
        <m:r>
          <m:t>a</m:t>
        </m:r>
        <m:r>
          <m:t>l</m:t>
        </m:r>
        <m:r>
          <m:t>f</m:t>
        </m:r>
        <m:r>
          <m:t>e</m:t>
        </m:r>
        <m:r>
          <m:t>a</m:t>
        </m:r>
        <m:r>
          <m:t>r</m:t>
        </m:r>
        <m:r>
          <m:t>n</m:t>
        </m:r>
        <m:r>
          <m:t>i</m:t>
        </m:r>
        <m:r>
          <m:t>n</m:t>
        </m:r>
        <m:r>
          <m:t>g</m:t>
        </m:r>
        <m:r>
          <m:t>s</m:t>
        </m:r>
        <m:r>
          <m:t>a</m:t>
        </m:r>
        <m:r>
          <m:t>t</m:t>
        </m:r>
        <m:r>
          <m:t>r</m:t>
        </m:r>
        <m:r>
          <m:t>o</m:t>
        </m:r>
        <m:r>
          <m:t>u</m:t>
        </m:r>
        <m:r>
          <m:t>g</m:t>
        </m:r>
        <m:r>
          <m:t>h</m:t>
        </m:r>
        <m:r>
          <m:t>l</m:t>
        </m:r>
        <m:r>
          <m:t>y</m:t>
        </m:r>
        <m:r>
          <m:rPr>
            <m:sty m:val="p"/>
          </m:rPr>
          <m:t>*</m:t>
        </m:r>
        <m:r>
          <m:rPr>
            <m:sty m:val="p"/>
          </m:rPr>
          <m:t>*</m:t>
        </m:r>
      </m:oMath>
      <w:r>
        <w:t xml:space="preserve">1.34 per share**, or approximately</w:t>
      </w:r>
      <w:r>
        <w:t xml:space="preserve"> </w:t>
      </w:r>
      <w:r>
        <w:rPr>
          <w:b/>
          <w:bCs/>
        </w:rPr>
        <w:t xml:space="preserve">47% of the full-year midpoint</w:t>
      </w:r>
      <w:r>
        <w:t xml:space="preserve">—consistent with Exelon’s normal seasonal earnings shape.</w:t>
      </w:r>
    </w:p>
    <w:p>
      <w:pPr>
        <w:pStyle w:val="BodyText"/>
      </w:pPr>
      <w:r>
        <w:t xml:space="preserve">That guidance makes a major EPS surprise less likely to be the stock’s primary driver. Investors should instead concentrate on the explanation of weather, storms, revenue timing, O&amp;M execution, regulatory developments, and any change in the expected cadence of earnings for the second half.</w:t>
      </w:r>
    </w:p>
    <w:bookmarkEnd w:id="10"/>
    <w:bookmarkStart w:id="13" w:name="Xec61904b6e418fd5f07449188e38a311e3bd860"/>
    <w:p>
      <w:pPr>
        <w:pStyle w:val="Heading2"/>
      </w:pPr>
      <w:r>
        <w:t xml:space="preserve">The key debate: can EXC pivot from distribution to transmission without losing growth?</w:t>
      </w:r>
    </w:p>
    <w:p>
      <w:pPr>
        <w:pStyle w:val="FirstParagraph"/>
      </w:pPr>
      <w:r>
        <w:t xml:space="preserve">Exelon revised its plan after withdrawing PECO’s recently filed Pennsylvania electric and gas rate cases. The revised program defers or reduces</w:t>
      </w:r>
      <w:r>
        <w:t xml:space="preserve"> </w:t>
      </w:r>
      <m:oMath>
        <m:r>
          <m:t>1.1</m:t>
        </m:r>
        <m:r>
          <m:t>b</m:t>
        </m:r>
        <m:r>
          <m:t>i</m:t>
        </m:r>
        <m:r>
          <m:t>l</m:t>
        </m:r>
        <m:r>
          <m:t>l</m:t>
        </m:r>
        <m:r>
          <m:t>i</m:t>
        </m:r>
        <m:r>
          <m:t>o</m:t>
        </m:r>
        <m:r>
          <m:t>n</m:t>
        </m:r>
        <m:r>
          <m:rPr>
            <m:sty m:val="p"/>
          </m:rPr>
          <m:t>*</m:t>
        </m:r>
        <m:r>
          <m:rPr>
            <m:sty m:val="p"/>
          </m:rPr>
          <m:t>*</m:t>
        </m:r>
        <m:r>
          <m:t>o</m:t>
        </m:r>
        <m:r>
          <m:t>f</m:t>
        </m:r>
        <m:r>
          <m:t>P</m:t>
        </m:r>
        <m:r>
          <m:t>E</m:t>
        </m:r>
        <m:r>
          <m:t>C</m:t>
        </m:r>
        <m:r>
          <m:t>O</m:t>
        </m:r>
        <m:r>
          <m:t>a</m:t>
        </m:r>
        <m:r>
          <m:t>n</m:t>
        </m:r>
        <m:r>
          <m:t>d</m:t>
        </m:r>
        <m:r>
          <m:t>B</m:t>
        </m:r>
        <m:r>
          <m:t>G</m:t>
        </m:r>
        <m:r>
          <m:t>E</m:t>
        </m:r>
        <m:r>
          <m:t>d</m:t>
        </m:r>
        <m:r>
          <m:t>i</m:t>
        </m:r>
        <m:r>
          <m:t>s</m:t>
        </m:r>
        <m:r>
          <m:t>t</m:t>
        </m:r>
        <m:r>
          <m:t>r</m:t>
        </m:r>
        <m:r>
          <m:t>i</m:t>
        </m:r>
        <m:r>
          <m:t>b</m:t>
        </m:r>
        <m:r>
          <m:t>u</m:t>
        </m:r>
        <m:r>
          <m:t>t</m:t>
        </m:r>
        <m:r>
          <m:t>i</m:t>
        </m:r>
        <m:r>
          <m:t>o</m:t>
        </m:r>
        <m:r>
          <m:t>n</m:t>
        </m:r>
        <m:r>
          <m:t>i</m:t>
        </m:r>
        <m:r>
          <m:t>n</m:t>
        </m:r>
        <m:r>
          <m:t>v</m:t>
        </m:r>
        <m:r>
          <m:t>e</m:t>
        </m:r>
        <m:r>
          <m:t>s</m:t>
        </m:r>
        <m:r>
          <m:t>t</m:t>
        </m:r>
        <m:r>
          <m:t>m</m:t>
        </m:r>
        <m:r>
          <m:t>e</m:t>
        </m:r>
        <m:r>
          <m:t>n</m:t>
        </m:r>
        <m:r>
          <m:t>t</m:t>
        </m:r>
        <m:r>
          <m:rPr>
            <m:sty m:val="p"/>
          </m:rPr>
          <m:t>,</m:t>
        </m:r>
        <m:r>
          <m:t>w</m:t>
        </m:r>
        <m:r>
          <m:t>h</m:t>
        </m:r>
        <m:r>
          <m:t>i</m:t>
        </m:r>
        <m:r>
          <m:t>l</m:t>
        </m:r>
        <m:r>
          <m:t>e</m:t>
        </m:r>
        <m:r>
          <m:t>a</m:t>
        </m:r>
        <m:r>
          <m:t>d</m:t>
        </m:r>
        <m:r>
          <m:t>d</m:t>
        </m:r>
        <m:r>
          <m:t>i</m:t>
        </m:r>
        <m:r>
          <m:t>n</m:t>
        </m:r>
        <m:r>
          <m:t>g</m:t>
        </m:r>
        <m:r>
          <m:rPr>
            <m:sty m:val="p"/>
          </m:rPr>
          <m:t>*</m:t>
        </m:r>
        <m:r>
          <m:rPr>
            <m:sty m:val="p"/>
          </m:rPr>
          <m:t>*</m:t>
        </m:r>
      </m:oMath>
      <w:r>
        <w:rPr>
          <w:b/>
          <w:bCs/>
        </w:rPr>
        <w:t xml:space="preserve">1.5 billion</w:t>
      </w:r>
      <w:r>
        <w:t xml:space="preserve"> </w:t>
      </w:r>
      <w:r>
        <w:t xml:space="preserve">of transmission spending. Management’s message is that its diversified service territory and regulated transmission opportunities allow it to redeploy capital while maintaining a 7.9% rate-base growth outlook.</w:t>
      </w:r>
    </w:p>
    <w:p>
      <w:pPr>
        <w:pStyle w:val="BodyText"/>
      </w:pPr>
      <w:r>
        <w:t xml:space="preserve">This is the most important strategic proof point in the quarter.</w:t>
      </w:r>
    </w:p>
    <w:bookmarkStart w:id="11" w:name="why-the-pivot-is-constructive"/>
    <w:p>
      <w:pPr>
        <w:pStyle w:val="Heading3"/>
      </w:pPr>
      <w:r>
        <w:t xml:space="preserve">Why the pivot is constructive</w:t>
      </w:r>
    </w:p>
    <w:p>
      <w:pPr>
        <w:pStyle w:val="Compact"/>
        <w:numPr>
          <w:ilvl w:val="0"/>
          <w:numId w:val="1002"/>
        </w:numPr>
      </w:pPr>
      <w:r>
        <w:t xml:space="preserve">Transmission is increasingly necessary to connect large loads and improve reliability across Exelon’s Mid-Atlantic and Illinois footprint.</w:t>
      </w:r>
    </w:p>
    <w:p>
      <w:pPr>
        <w:pStyle w:val="Compact"/>
        <w:numPr>
          <w:ilvl w:val="0"/>
          <w:numId w:val="1002"/>
        </w:numPr>
      </w:pPr>
      <w:r>
        <w:t xml:space="preserve">The company has stated that approximately</w:t>
      </w:r>
      <w:r>
        <w:t xml:space="preserve"> </w:t>
      </w:r>
      <w:r>
        <w:rPr>
          <w:b/>
          <w:bCs/>
        </w:rPr>
        <w:t xml:space="preserve">$1 billion of collateral</w:t>
      </w:r>
      <w:r>
        <w:t xml:space="preserve"> </w:t>
      </w:r>
      <w:r>
        <w:t xml:space="preserve">has been secured through FERC-approved transmission security agreements tied to its data-center pipeline.</w:t>
      </w:r>
    </w:p>
    <w:p>
      <w:pPr>
        <w:pStyle w:val="Compact"/>
        <w:numPr>
          <w:ilvl w:val="0"/>
          <w:numId w:val="1002"/>
        </w:numPr>
      </w:pPr>
      <w:r>
        <w:t xml:space="preserve">Exelon submitted bids, jointly with Invenergy, for about</w:t>
      </w:r>
      <w:r>
        <w:t xml:space="preserve"> </w:t>
      </w:r>
      <w:r>
        <w:rPr>
          <w:b/>
          <w:bCs/>
        </w:rPr>
        <w:t xml:space="preserve">$1.9 billion</w:t>
      </w:r>
      <w:r>
        <w:t xml:space="preserve"> </w:t>
      </w:r>
      <w:r>
        <w:t xml:space="preserve">of MISO Tranche 2.1 transmission capital, while indicating additional competitive-bid activity.</w:t>
      </w:r>
    </w:p>
    <w:p>
      <w:pPr>
        <w:pStyle w:val="Compact"/>
        <w:numPr>
          <w:ilvl w:val="0"/>
          <w:numId w:val="1002"/>
        </w:numPr>
      </w:pPr>
      <w:r>
        <w:t xml:space="preserve">The transmission opportunity set beyond the formal plan remains sizable at</w:t>
      </w:r>
      <w:r>
        <w:t xml:space="preserve"> </w:t>
      </w:r>
      <m:oMath>
        <m:r>
          <m:t>12</m:t>
        </m:r>
        <m:r>
          <m:t>b</m:t>
        </m:r>
        <m:r>
          <m:t>i</m:t>
        </m:r>
        <m:r>
          <m:t>l</m:t>
        </m:r>
        <m:r>
          <m:t>l</m:t>
        </m:r>
        <m:r>
          <m:t>i</m:t>
        </m:r>
        <m:r>
          <m:t>o</m:t>
        </m:r>
        <m:r>
          <m:t>n</m:t>
        </m:r>
        <m:r>
          <m:rPr>
            <m:sty m:val="p"/>
          </m:rPr>
          <m:t>–</m:t>
        </m:r>
      </m:oMath>
      <w:r>
        <w:rPr>
          <w:b/>
          <w:bCs/>
        </w:rPr>
        <w:t xml:space="preserve">17 billion</w:t>
      </w:r>
      <w:r>
        <w:t xml:space="preserve">, excluding the cited MISO bids and potential storage/solar opportunities.</w:t>
      </w:r>
    </w:p>
    <w:bookmarkEnd w:id="11"/>
    <w:bookmarkStart w:id="12" w:name="why-investors-should-remain-cautious"/>
    <w:p>
      <w:pPr>
        <w:pStyle w:val="Heading3"/>
      </w:pPr>
      <w:r>
        <w:t xml:space="preserve">Why investors should remain cautious</w:t>
      </w:r>
    </w:p>
    <w:p>
      <w:pPr>
        <w:pStyle w:val="FirstParagraph"/>
      </w:pPr>
      <w:r>
        <w:t xml:space="preserve">The pivot is not a free lunch. The distribution reductions reflect a real political and regulatory constraint: customer bills are rising and regulators are scrutinizing the pace, necessity, and returns on utility investment. The $350 million O&amp;M target is also partly linked to work Exelon will no longer pursue, rather than solely to structurally improved operating efficiency.</w:t>
      </w:r>
    </w:p>
    <w:p>
      <w:pPr>
        <w:pStyle w:val="BodyText"/>
      </w:pPr>
      <w:r>
        <w:t xml:space="preserve">The July call needs to establish that the replacement transmission projects have sufficient certainty, timing, and allowed-return visibility to offset distribution deferrals—not simply that they are attractive long-dated opportunities.</w:t>
      </w:r>
    </w:p>
    <w:bookmarkEnd w:id="12"/>
    <w:bookmarkEnd w:id="13"/>
    <w:bookmarkStart w:id="16" w:name="regulatory-issues-to-watch"/>
    <w:p>
      <w:pPr>
        <w:pStyle w:val="Heading2"/>
      </w:pPr>
      <w:r>
        <w:t xml:space="preserve">Regulatory issues to watch</w:t>
      </w:r>
    </w:p>
    <w:bookmarkStart w:id="14" w:name="Xdd53ba6741cbe3920c852507761d676f45dc735"/>
    <w:p>
      <w:pPr>
        <w:pStyle w:val="Heading3"/>
      </w:pPr>
      <w:r>
        <w:t xml:space="preserve">1. Pennsylvania / PECO: the largest near-term overhang</w:t>
      </w:r>
    </w:p>
    <w:p>
      <w:pPr>
        <w:pStyle w:val="FirstParagraph"/>
      </w:pPr>
      <w:r>
        <w:t xml:space="preserve">PECO’s withdrawal of its rate cases was a deliberate response to stakeholder feedback and customer-affordability concerns. While management has emphasized that the withdrawal was about timing rather than a reversal of long-term investment needs, the decision introduces uncertainty around:</w:t>
      </w:r>
    </w:p>
    <w:p>
      <w:pPr>
        <w:pStyle w:val="Compact"/>
        <w:numPr>
          <w:ilvl w:val="0"/>
          <w:numId w:val="1003"/>
        </w:numPr>
      </w:pPr>
      <w:r>
        <w:t xml:space="preserve">when PECO returns to regulators;</w:t>
      </w:r>
    </w:p>
    <w:p>
      <w:pPr>
        <w:pStyle w:val="Compact"/>
        <w:numPr>
          <w:ilvl w:val="0"/>
          <w:numId w:val="1003"/>
        </w:numPr>
      </w:pPr>
      <w:r>
        <w:t xml:space="preserve">the level of future authorized returns and equity capitalization;</w:t>
      </w:r>
    </w:p>
    <w:p>
      <w:pPr>
        <w:pStyle w:val="Compact"/>
        <w:numPr>
          <w:ilvl w:val="0"/>
          <w:numId w:val="1003"/>
        </w:numPr>
      </w:pPr>
      <w:r>
        <w:t xml:space="preserve">whether deferred work later needs to be recovered in a more challenging regulatory environment; and</w:t>
      </w:r>
    </w:p>
    <w:p>
      <w:pPr>
        <w:pStyle w:val="Compact"/>
        <w:numPr>
          <w:ilvl w:val="0"/>
          <w:numId w:val="1003"/>
        </w:numPr>
      </w:pPr>
      <w:r>
        <w:t xml:space="preserve">PECO’s credit outlook.</w:t>
      </w:r>
    </w:p>
    <w:p>
      <w:pPr>
        <w:pStyle w:val="FirstParagraph"/>
      </w:pPr>
      <w:r>
        <w:t xml:space="preserve">On the first-quarter call, management noted that PECO was already on negative outlook/review for downgrade. Exelon’s portfolio diversification and targeted consolidated credit metrics of roughly</w:t>
      </w:r>
      <w:r>
        <w:t xml:space="preserve"> </w:t>
      </w:r>
      <w:r>
        <w:rPr>
          <w:b/>
          <w:bCs/>
        </w:rPr>
        <w:t xml:space="preserve">14%</w:t>
      </w:r>
      <w:r>
        <w:t xml:space="preserve"> </w:t>
      </w:r>
      <w:r>
        <w:t xml:space="preserve">provide some cushion, but investors will want an updated dialogue with rating agencies and a clearer view of when Pennsylvania capital recovery resumes.</w:t>
      </w:r>
    </w:p>
    <w:p>
      <w:pPr>
        <w:pStyle w:val="BodyText"/>
      </w:pPr>
      <w:r>
        <w:rPr>
          <w:b/>
          <w:bCs/>
        </w:rPr>
        <w:t xml:space="preserve">What would be positive:</w:t>
      </w:r>
      <w:r>
        <w:t xml:space="preserve"> </w:t>
      </w:r>
      <w:r>
        <w:t xml:space="preserve">management characterizes stakeholder engagement as improving, preserves long-term PECO filing assumptions, and reiterates that no change is needed to the 2026–29 earnings-growth framework.</w:t>
      </w:r>
    </w:p>
    <w:p>
      <w:pPr>
        <w:pStyle w:val="BodyText"/>
      </w:pPr>
      <w:r>
        <w:rPr>
          <w:b/>
          <w:bCs/>
        </w:rPr>
        <w:t xml:space="preserve">What would be negative:</w:t>
      </w:r>
      <w:r>
        <w:t xml:space="preserve"> </w:t>
      </w:r>
      <w:r>
        <w:t xml:space="preserve">a more open-ended timeline for re-filing, suggestions that returns/equity ratios could reset materially lower, or a weaker credit-rating discussion.</w:t>
      </w:r>
    </w:p>
    <w:bookmarkEnd w:id="14"/>
    <w:bookmarkStart w:id="15" w:name="X415d2ac3a126a072156b4906f74f106c7989cad"/>
    <w:p>
      <w:pPr>
        <w:pStyle w:val="Heading3"/>
      </w:pPr>
      <w:r>
        <w:t xml:space="preserve">2. Maryland: affordability versus reliability</w:t>
      </w:r>
    </w:p>
    <w:p>
      <w:pPr>
        <w:pStyle w:val="FirstParagraph"/>
      </w:pPr>
      <w:r>
        <w:t xml:space="preserve">Maryland remains another critical jurisdiction. Exelon has argued that supply constraints in PJM are driving customer affordability issues and has advocated for additional transmission, demand-side solutions, and potentially utility-supported generation or storage.</w:t>
      </w:r>
    </w:p>
    <w:p>
      <w:pPr>
        <w:pStyle w:val="BodyText"/>
      </w:pPr>
      <w:r>
        <w:t xml:space="preserve">For 2Q, key items include:</w:t>
      </w:r>
    </w:p>
    <w:p>
      <w:pPr>
        <w:pStyle w:val="Compact"/>
        <w:numPr>
          <w:ilvl w:val="0"/>
          <w:numId w:val="1004"/>
        </w:numPr>
      </w:pPr>
      <w:r>
        <w:t xml:space="preserve">the status of</w:t>
      </w:r>
      <w:r>
        <w:t xml:space="preserve"> </w:t>
      </w:r>
      <w:r>
        <w:rPr>
          <w:b/>
          <w:bCs/>
        </w:rPr>
        <w:t xml:space="preserve">Pepco Maryland’s approximately $120 million</w:t>
      </w:r>
      <w:r>
        <w:t xml:space="preserve"> </w:t>
      </w:r>
      <w:r>
        <w:t xml:space="preserve">requested revenue increase;</w:t>
      </w:r>
    </w:p>
    <w:p>
      <w:pPr>
        <w:pStyle w:val="Compact"/>
        <w:numPr>
          <w:ilvl w:val="0"/>
          <w:numId w:val="1004"/>
        </w:numPr>
      </w:pPr>
      <w:r>
        <w:t xml:space="preserve">the result/timing of the traditional rate-case proceeding;</w:t>
      </w:r>
    </w:p>
    <w:p>
      <w:pPr>
        <w:pStyle w:val="Compact"/>
        <w:numPr>
          <w:ilvl w:val="0"/>
          <w:numId w:val="1004"/>
        </w:numPr>
      </w:pPr>
      <w:r>
        <w:t xml:space="preserve">BGE credit-loss trends and customer payment behavior;</w:t>
      </w:r>
    </w:p>
    <w:p>
      <w:pPr>
        <w:pStyle w:val="Compact"/>
        <w:numPr>
          <w:ilvl w:val="0"/>
          <w:numId w:val="1004"/>
        </w:numPr>
      </w:pPr>
      <w:r>
        <w:t xml:space="preserve">any updated regulatory response to high supply costs and large-load growth; and</w:t>
      </w:r>
    </w:p>
    <w:p>
      <w:pPr>
        <w:pStyle w:val="Compact"/>
        <w:numPr>
          <w:ilvl w:val="0"/>
          <w:numId w:val="1004"/>
        </w:numPr>
      </w:pPr>
      <w:r>
        <w:t xml:space="preserve">whether Maryland’s policy environment provides a credible path to utility-supported resource solutions.</w:t>
      </w:r>
    </w:p>
    <w:p>
      <w:pPr>
        <w:pStyle w:val="FirstParagraph"/>
      </w:pPr>
      <w:r>
        <w:t xml:space="preserve">The upside scenario is that rate recovery and large-load reliability investments remain on track while policymakers increasingly recognize that supply constraints—not only delivery rates—are driving customer bills.</w:t>
      </w:r>
    </w:p>
    <w:bookmarkEnd w:id="15"/>
    <w:bookmarkEnd w:id="16"/>
    <w:bookmarkStart w:id="20" w:name="X45a14f8fce70dd0f4eed4c5fb6c0966dc86dd59"/>
    <w:p>
      <w:pPr>
        <w:pStyle w:val="Heading2"/>
      </w:pPr>
      <w:r>
        <w:t xml:space="preserve">Financial execution: earnings, O&amp;M, capital, and financing</w:t>
      </w:r>
    </w:p>
    <w:bookmarkStart w:id="17" w:name="Xb08cfe90188c7df75713772b5cfd93a998e51b1"/>
    <w:p>
      <w:pPr>
        <w:pStyle w:val="Heading3"/>
      </w:pPr>
      <w:r>
        <w:t xml:space="preserve">2Q EPS and seasonal cadence</w:t>
      </w:r>
    </w:p>
    <w:p>
      <w:pPr>
        <w:pStyle w:val="FirstParagraph"/>
      </w:pPr>
      <w:r>
        <w:t xml:space="preserve">Exelon earned</w:t>
      </w:r>
      <w:r>
        <w:t xml:space="preserve"> </w:t>
      </w:r>
      <m:oMath>
        <m:r>
          <m:t>0.39</m:t>
        </m:r>
        <m:r>
          <m:t>p</m:t>
        </m:r>
        <m:r>
          <m:t>e</m:t>
        </m:r>
        <m:r>
          <m:t>r</m:t>
        </m:r>
        <m:r>
          <m:t>s</m:t>
        </m:r>
        <m:r>
          <m:t>h</m:t>
        </m:r>
        <m:r>
          <m:t>a</m:t>
        </m:r>
        <m:r>
          <m:t>r</m:t>
        </m:r>
        <m:r>
          <m:t>e</m:t>
        </m:r>
        <m:r>
          <m:rPr>
            <m:sty m:val="p"/>
          </m:rPr>
          <m:t>*</m:t>
        </m:r>
        <m:r>
          <m:rPr>
            <m:sty m:val="p"/>
          </m:rPr>
          <m:t>*</m:t>
        </m:r>
        <m:r>
          <m:t>i</m:t>
        </m:r>
        <m:r>
          <m:t>n</m:t>
        </m:r>
        <m:r>
          <m:t>2</m:t>
        </m:r>
        <m:r>
          <m:t>Q</m:t>
        </m:r>
        <m:r>
          <m:t>25</m:t>
        </m:r>
        <m:r>
          <m:rPr>
            <m:sty m:val="p"/>
          </m:rPr>
          <m:t>.</m:t>
        </m:r>
        <m:r>
          <m:t>T</m:t>
        </m:r>
        <m:r>
          <m:t>h</m:t>
        </m:r>
        <m:r>
          <m:t>e</m:t>
        </m:r>
        <m:r>
          <m:t>c</m:t>
        </m:r>
        <m:r>
          <m:t>o</m:t>
        </m:r>
        <m:r>
          <m:t>m</m:t>
        </m:r>
        <m:r>
          <m:t>p</m:t>
        </m:r>
        <m:r>
          <m:t>a</m:t>
        </m:r>
        <m:r>
          <m:t>n</m:t>
        </m:r>
        <m:r>
          <m:t>y</m:t>
        </m:r>
        <m:r>
          <m:rPr>
            <m:sty m:val="p"/>
          </m:rPr>
          <m:t>’</m:t>
        </m:r>
        <m:r>
          <m:t>s</m:t>
        </m:r>
        <m:r>
          <m:t>i</m:t>
        </m:r>
        <m:r>
          <m:t>m</m:t>
        </m:r>
        <m:r>
          <m:t>p</m:t>
        </m:r>
        <m:r>
          <m:t>l</m:t>
        </m:r>
        <m:r>
          <m:t>i</m:t>
        </m:r>
        <m:r>
          <m:t>e</m:t>
        </m:r>
        <m:r>
          <m:t>d</m:t>
        </m:r>
        <m:r>
          <m:t>2</m:t>
        </m:r>
        <m:r>
          <m:t>Q</m:t>
        </m:r>
        <m:r>
          <m:t>26</m:t>
        </m:r>
        <m:r>
          <m:t>g</m:t>
        </m:r>
        <m:r>
          <m:t>u</m:t>
        </m:r>
        <m:r>
          <m:t>i</m:t>
        </m:r>
        <m:r>
          <m:t>d</m:t>
        </m:r>
        <m:r>
          <m:t>e</m:t>
        </m:r>
        <m:r>
          <m:t>o</m:t>
        </m:r>
        <m:r>
          <m:t>f</m:t>
        </m:r>
        <m:r>
          <m:t>a</m:t>
        </m:r>
        <m:r>
          <m:t>b</m:t>
        </m:r>
        <m:r>
          <m:t>o</m:t>
        </m:r>
        <m:r>
          <m:t>u</m:t>
        </m:r>
        <m:r>
          <m:t>t</m:t>
        </m:r>
        <m:r>
          <m:rPr>
            <m:sty m:val="p"/>
          </m:rPr>
          <m:t>*</m:t>
        </m:r>
        <m:r>
          <m:rPr>
            <m:sty m:val="p"/>
          </m:rPr>
          <m:t>*</m:t>
        </m:r>
      </m:oMath>
      <w:r>
        <w:rPr>
          <w:b/>
          <w:bCs/>
        </w:rPr>
        <w:t xml:space="preserve">0.43</w:t>
      </w:r>
      <w:r>
        <w:t xml:space="preserve"> </w:t>
      </w:r>
      <w:r>
        <w:t xml:space="preserve">suggests year-over-year improvement, but the comparison will be noisy because of revenue shaping, weather, storm costs, interest expense, and regulatory true-ups.</w:t>
      </w:r>
    </w:p>
    <w:p>
      <w:pPr>
        <w:pStyle w:val="BodyText"/>
      </w:pPr>
      <w:r>
        <w:t xml:space="preserve">Management had said 2Q26 would contemplate normal weather and storm activity as well as anticipated revenue shaping and timing. Therefore, investors should separate:</w:t>
      </w:r>
    </w:p>
    <w:p>
      <w:pPr>
        <w:pStyle w:val="Compact"/>
        <w:numPr>
          <w:ilvl w:val="0"/>
          <w:numId w:val="1005"/>
        </w:numPr>
      </w:pPr>
      <w:r>
        <w:rPr>
          <w:b/>
          <w:bCs/>
        </w:rPr>
        <w:t xml:space="preserve">Underlying rate-base earnings and regulatory recovery</w:t>
      </w:r>
    </w:p>
    <w:p>
      <w:pPr>
        <w:pStyle w:val="Compact"/>
        <w:numPr>
          <w:ilvl w:val="0"/>
          <w:numId w:val="1005"/>
        </w:numPr>
      </w:pPr>
      <w:r>
        <w:rPr>
          <w:b/>
          <w:bCs/>
        </w:rPr>
        <w:t xml:space="preserve">Timing-related O&amp;M and revenue effects</w:t>
      </w:r>
    </w:p>
    <w:p>
      <w:pPr>
        <w:pStyle w:val="Compact"/>
        <w:numPr>
          <w:ilvl w:val="0"/>
          <w:numId w:val="1005"/>
        </w:numPr>
      </w:pPr>
      <w:r>
        <w:rPr>
          <w:b/>
          <w:bCs/>
        </w:rPr>
        <w:t xml:space="preserve">Weather and storm impacts</w:t>
      </w:r>
    </w:p>
    <w:p>
      <w:pPr>
        <w:pStyle w:val="Compact"/>
        <w:numPr>
          <w:ilvl w:val="0"/>
          <w:numId w:val="1005"/>
        </w:numPr>
      </w:pPr>
      <w:r>
        <w:rPr>
          <w:b/>
          <w:bCs/>
        </w:rPr>
        <w:t xml:space="preserve">Interest expense and financing costs</w:t>
      </w:r>
    </w:p>
    <w:p>
      <w:pPr>
        <w:pStyle w:val="Compact"/>
        <w:numPr>
          <w:ilvl w:val="0"/>
          <w:numId w:val="1005"/>
        </w:numPr>
      </w:pPr>
      <w:r>
        <w:rPr>
          <w:b/>
          <w:bCs/>
        </w:rPr>
        <w:t xml:space="preserve">Credit-loss expense, particularly at BGE</w:t>
      </w:r>
    </w:p>
    <w:bookmarkEnd w:id="17"/>
    <w:bookmarkStart w:id="18" w:name="om-target-credibility"/>
    <w:p>
      <w:pPr>
        <w:pStyle w:val="Heading3"/>
      </w:pPr>
      <w:r>
        <w:t xml:space="preserve">O&amp;M target credibility</w:t>
      </w:r>
    </w:p>
    <w:p>
      <w:pPr>
        <w:pStyle w:val="FirstParagraph"/>
      </w:pPr>
      <w:r>
        <w:t xml:space="preserve">The company now targets no more than</w:t>
      </w:r>
      <w:r>
        <w:t xml:space="preserve"> </w:t>
      </w:r>
      <w:r>
        <w:rPr>
          <w:b/>
          <w:bCs/>
        </w:rPr>
        <w:t xml:space="preserve">2% adjusted O&amp;M growth through 2029</w:t>
      </w:r>
      <w:r>
        <w:t xml:space="preserve">, after nearly flat expense growth from 2024–26. Management plans to identify $350 million of 2027 savings through technology and AI initiatives, IT prioritization, contractor reductions, managed hiring, a voluntary separation program, and project reprioritization.</w:t>
      </w:r>
    </w:p>
    <w:p>
      <w:pPr>
        <w:pStyle w:val="BodyText"/>
      </w:pPr>
      <w:r>
        <w:t xml:space="preserve">The July update should help investors assess whether this remains a broad productivity program or is principally a consequence of deferred capital work. The former supports the long-term growth algorithm; the latter is helpful but less durable.</w:t>
      </w:r>
    </w:p>
    <w:bookmarkEnd w:id="18"/>
    <w:bookmarkStart w:id="19" w:name="financing-and-dilution"/>
    <w:p>
      <w:pPr>
        <w:pStyle w:val="Heading3"/>
      </w:pPr>
      <w:r>
        <w:t xml:space="preserve">Financing and dilution</w:t>
      </w:r>
    </w:p>
    <w:p>
      <w:pPr>
        <w:pStyle w:val="FirstParagraph"/>
      </w:pPr>
      <w:r>
        <w:t xml:space="preserve">Exelon’s revised plan calls for:</w:t>
      </w:r>
    </w:p>
    <w:p>
      <w:pPr>
        <w:pStyle w:val="Compact"/>
        <w:numPr>
          <w:ilvl w:val="0"/>
          <w:numId w:val="1006"/>
        </w:numPr>
      </w:pPr>
      <w:r>
        <w:t xml:space="preserve">roughly</w:t>
      </w:r>
      <w:r>
        <w:t xml:space="preserve"> </w:t>
      </w:r>
      <w:r>
        <w:rPr>
          <w:b/>
          <w:bCs/>
        </w:rPr>
        <w:t xml:space="preserve">$21.8 billion</w:t>
      </w:r>
      <w:r>
        <w:t xml:space="preserve"> </w:t>
      </w:r>
      <w:r>
        <w:t xml:space="preserve">of internally generated cash flow;</w:t>
      </w:r>
    </w:p>
    <w:p>
      <w:pPr>
        <w:pStyle w:val="Compact"/>
        <w:numPr>
          <w:ilvl w:val="0"/>
          <w:numId w:val="1006"/>
        </w:numPr>
      </w:pPr>
      <w:r>
        <w:rPr>
          <w:b/>
          <w:bCs/>
        </w:rPr>
        <w:t xml:space="preserve">$13.1 billion</w:t>
      </w:r>
      <w:r>
        <w:t xml:space="preserve"> </w:t>
      </w:r>
      <w:r>
        <w:t xml:space="preserve">of utility debt;</w:t>
      </w:r>
    </w:p>
    <w:p>
      <w:pPr>
        <w:pStyle w:val="Compact"/>
        <w:numPr>
          <w:ilvl w:val="0"/>
          <w:numId w:val="1006"/>
        </w:numPr>
      </w:pPr>
      <w:r>
        <w:rPr>
          <w:b/>
          <w:bCs/>
        </w:rPr>
        <w:t xml:space="preserve">$3.4 billion</w:t>
      </w:r>
      <w:r>
        <w:t xml:space="preserve"> </w:t>
      </w:r>
      <w:r>
        <w:t xml:space="preserve">of holding-company debt; and</w:t>
      </w:r>
    </w:p>
    <w:p>
      <w:pPr>
        <w:pStyle w:val="Compact"/>
        <w:numPr>
          <w:ilvl w:val="0"/>
          <w:numId w:val="1006"/>
        </w:numPr>
      </w:pPr>
      <w:r>
        <w:rPr>
          <w:b/>
          <w:bCs/>
        </w:rPr>
        <w:t xml:space="preserve">$3.4 billion</w:t>
      </w:r>
      <w:r>
        <w:t xml:space="preserve"> </w:t>
      </w:r>
      <w:r>
        <w:t xml:space="preserve">of equity through 2029.</w:t>
      </w:r>
    </w:p>
    <w:p>
      <w:pPr>
        <w:pStyle w:val="FirstParagraph"/>
      </w:pPr>
      <w:r>
        <w:t xml:space="preserve">Management had already priced its full</w:t>
      </w:r>
      <w:r>
        <w:t xml:space="preserve"> </w:t>
      </w:r>
      <m:oMath>
        <m:r>
          <m:t>850</m:t>
        </m:r>
        <m:r>
          <m:t>m</m:t>
        </m:r>
        <m:r>
          <m:t>i</m:t>
        </m:r>
        <m:r>
          <m:t>l</m:t>
        </m:r>
        <m:r>
          <m:t>l</m:t>
        </m:r>
        <m:r>
          <m:t>i</m:t>
        </m:r>
        <m:r>
          <m:t>o</m:t>
        </m:r>
        <m:r>
          <m:t>n</m:t>
        </m:r>
        <m:r>
          <m:rPr>
            <m:sty m:val="p"/>
          </m:rPr>
          <m:t>*</m:t>
        </m:r>
        <m:r>
          <m:rPr>
            <m:sty m:val="p"/>
          </m:rPr>
          <m:t>*</m:t>
        </m:r>
        <m:r>
          <m:t>o</m:t>
        </m:r>
        <m:r>
          <m:t>f</m:t>
        </m:r>
        <m:r>
          <m:t>2026</m:t>
        </m:r>
        <m:r>
          <m:t>e</m:t>
        </m:r>
        <m:r>
          <m:t>q</m:t>
        </m:r>
        <m:r>
          <m:t>u</m:t>
        </m:r>
        <m:r>
          <m:t>i</m:t>
        </m:r>
        <m:r>
          <m:t>t</m:t>
        </m:r>
        <m:r>
          <m:t>y</m:t>
        </m:r>
        <m:r>
          <m:t>n</m:t>
        </m:r>
        <m:r>
          <m:t>e</m:t>
        </m:r>
        <m:r>
          <m:t>e</m:t>
        </m:r>
        <m:r>
          <m:t>d</m:t>
        </m:r>
        <m:r>
          <m:t>a</m:t>
        </m:r>
        <m:r>
          <m:t>n</m:t>
        </m:r>
        <m:r>
          <m:t>d</m:t>
        </m:r>
        <m:r>
          <m:t>m</m:t>
        </m:r>
        <m:r>
          <m:t>o</m:t>
        </m:r>
        <m:r>
          <m:t>r</m:t>
        </m:r>
        <m:r>
          <m:t>e</m:t>
        </m:r>
        <m:r>
          <m:t>t</m:t>
        </m:r>
        <m:r>
          <m:t>h</m:t>
        </m:r>
        <m:r>
          <m:t>a</m:t>
        </m:r>
        <m:r>
          <m:t>n</m:t>
        </m:r>
        <m:r>
          <m:rPr>
            <m:sty m:val="p"/>
          </m:rPr>
          <m:t>*</m:t>
        </m:r>
        <m:r>
          <m:rPr>
            <m:sty m:val="p"/>
          </m:rPr>
          <m:t>*</m:t>
        </m:r>
      </m:oMath>
      <w:r>
        <w:rPr>
          <w:b/>
          <w:bCs/>
        </w:rPr>
        <w:t xml:space="preserve">400 million</w:t>
      </w:r>
      <w:r>
        <w:t xml:space="preserve"> </w:t>
      </w:r>
      <w:r>
        <w:t xml:space="preserve">of 2027 needs through forward agreements/ATM activity. That early execution reduces near-term funding uncertainty, but it also means investors should focus on whether rising rates or a tougher regulatory environment could pressure the cost of capital and credit metrics over the rest of the plan.</w:t>
      </w:r>
    </w:p>
    <w:bookmarkEnd w:id="19"/>
    <w:bookmarkEnd w:id="20"/>
    <w:bookmarkStart w:id="21" w:name="X9482ce6c6fc2e643139cbb23641ff8533ec96e9"/>
    <w:p>
      <w:pPr>
        <w:pStyle w:val="Heading2"/>
      </w:pPr>
      <w:r>
        <w:t xml:space="preserve">Large load and data centers: strategic upside, but not yet a near-term earnings substitute</w:t>
      </w:r>
    </w:p>
    <w:p>
      <w:pPr>
        <w:pStyle w:val="FirstParagraph"/>
      </w:pPr>
      <w:r>
        <w:t xml:space="preserve">Exelon’s service territories are well positioned for data-center and other large-load development, especially in Illinois and the Mid-Atlantic. The company’s regulatory/security-agreement approach is important because it is designed to ensure large customers bear an appropriate share of upgrade and interconnection costs rather than shifting risks to existing ratepayers.</w:t>
      </w:r>
    </w:p>
    <w:p>
      <w:pPr>
        <w:pStyle w:val="BodyText"/>
      </w:pPr>
      <w:r>
        <w:t xml:space="preserve">For the quarter, watch for:</w:t>
      </w:r>
    </w:p>
    <w:p>
      <w:pPr>
        <w:pStyle w:val="Compact"/>
        <w:numPr>
          <w:ilvl w:val="0"/>
          <w:numId w:val="1007"/>
        </w:numPr>
      </w:pPr>
      <w:r>
        <w:t xml:space="preserve">updates to secured load, interconnection studies, and contract conversion;</w:t>
      </w:r>
    </w:p>
    <w:p>
      <w:pPr>
        <w:pStyle w:val="Compact"/>
        <w:numPr>
          <w:ilvl w:val="0"/>
          <w:numId w:val="1007"/>
        </w:numPr>
      </w:pPr>
      <w:r>
        <w:t xml:space="preserve">evidence that transmission-security arrangements are accelerating project visibility;</w:t>
      </w:r>
    </w:p>
    <w:p>
      <w:pPr>
        <w:pStyle w:val="Compact"/>
        <w:numPr>
          <w:ilvl w:val="0"/>
          <w:numId w:val="1007"/>
        </w:numPr>
      </w:pPr>
      <w:r>
        <w:t xml:space="preserve">the timing of load energization versus the timing of Exelon’s capital spend; and</w:t>
      </w:r>
    </w:p>
    <w:p>
      <w:pPr>
        <w:pStyle w:val="Compact"/>
        <w:numPr>
          <w:ilvl w:val="0"/>
          <w:numId w:val="1007"/>
        </w:numPr>
      </w:pPr>
      <w:r>
        <w:t xml:space="preserve">whether large load produces incremental capital-plan upside rather than merely replacing other spending.</w:t>
      </w:r>
    </w:p>
    <w:p>
      <w:pPr>
        <w:pStyle w:val="FirstParagraph"/>
      </w:pPr>
      <w:r>
        <w:t xml:space="preserve">The key distinction: data-center demand is strategically valuable, but EXC’s earnings benefit comes from authorized investment and rate base—not simply from announcing a large load pipeline.</w:t>
      </w:r>
    </w:p>
    <w:bookmarkEnd w:id="21"/>
    <w:bookmarkStart w:id="22" w:name="stock-setup-and-expectations"/>
    <w:p>
      <w:pPr>
        <w:pStyle w:val="Heading2"/>
      </w:pPr>
      <w:r>
        <w:t xml:space="preserve">Stock setup and expectations</w:t>
      </w:r>
    </w:p>
    <w:p>
      <w:pPr>
        <w:pStyle w:val="FirstParagraph"/>
      </w:pPr>
      <w:r>
        <w:t xml:space="preserve">EXC closed at</w:t>
      </w:r>
      <w:r>
        <w:t xml:space="preserve"> </w:t>
      </w:r>
      <w:r>
        <w:rPr>
          <w:b/>
          <w:bCs/>
        </w:rPr>
        <w:t xml:space="preserve">$46.82 on July 29</w:t>
      </w:r>
      <w:r>
        <w:t xml:space="preserve">, up about</w:t>
      </w:r>
      <w:r>
        <w:t xml:space="preserve"> </w:t>
      </w:r>
      <w:r>
        <w:rPr>
          <w:b/>
          <w:bCs/>
        </w:rPr>
        <w:t xml:space="preserve">7.4%</w:t>
      </w:r>
      <w:r>
        <w:t xml:space="preserve"> </w:t>
      </w:r>
      <w:r>
        <w:t xml:space="preserve">from $43.59 at year-end 2025. That is ahead of the Utilities Select Sector SPDR Fund (</w:t>
      </w:r>
      <w:r>
        <w:rPr>
          <w:b/>
          <w:bCs/>
        </w:rPr>
        <w:t xml:space="preserve">XLU</w:t>
      </w:r>
      <w:r>
        <w:t xml:space="preserve">, up about 5.4%) but slightly behind the S&amp;P 500 ETF (</w:t>
      </w:r>
      <w:r>
        <w:rPr>
          <w:b/>
          <w:bCs/>
        </w:rPr>
        <w:t xml:space="preserve">SPY</w:t>
      </w:r>
      <w:r>
        <w:t xml:space="preserve">, up about 8.2%) over the same period.</w:t>
      </w:r>
    </w:p>
    <w:p>
      <w:pPr>
        <w:pStyle w:val="BodyText"/>
      </w:pPr>
      <w:r>
        <w:t xml:space="preserve">The stock sold off after the first-quarter report and the PECO rate-case withdrawal, falling from $46.18 on May 5 to $45.02 on May 6, before recovering into late July. This suggests the market is already treating regulatory confidence—not near-term EPS delivery—as the major valuation variable.</w:t>
      </w:r>
    </w:p>
    <w:bookmarkEnd w:id="22"/>
    <w:bookmarkStart w:id="25" w:name="what-matters-most-on-the-july-30-call"/>
    <w:p>
      <w:pPr>
        <w:pStyle w:val="Heading2"/>
      </w:pPr>
      <w:r>
        <w:t xml:space="preserve">What matters most on the July 30 call</w:t>
      </w:r>
    </w:p>
    <w:bookmarkStart w:id="23" w:name="potential-positives"/>
    <w:p>
      <w:pPr>
        <w:pStyle w:val="Heading3"/>
      </w:pPr>
      <w:r>
        <w:t xml:space="preserve">Potential positives</w:t>
      </w:r>
    </w:p>
    <w:p>
      <w:pPr>
        <w:pStyle w:val="Compact"/>
        <w:numPr>
          <w:ilvl w:val="0"/>
          <w:numId w:val="1008"/>
        </w:numPr>
      </w:pPr>
      <w:r>
        <w:t xml:space="preserve">Reaffirmation of</w:t>
      </w:r>
      <w:r>
        <w:t xml:space="preserve"> </w:t>
      </w:r>
      <m:oMath>
        <m:r>
          <m:t>2.81</m:t>
        </m:r>
        <m:r>
          <m:rPr>
            <m:sty m:val="p"/>
          </m:rPr>
          <m:t>–</m:t>
        </m:r>
      </m:oMath>
      <w:r>
        <w:rPr>
          <w:b/>
          <w:bCs/>
        </w:rPr>
        <w:t xml:space="preserve">2.91</w:t>
      </w:r>
      <w:r>
        <w:t xml:space="preserve"> </w:t>
      </w:r>
      <w:r>
        <w:t xml:space="preserve">EPS guidance with a continued midpoint-or-better objective.</w:t>
      </w:r>
    </w:p>
    <w:p>
      <w:pPr>
        <w:pStyle w:val="Compact"/>
        <w:numPr>
          <w:ilvl w:val="0"/>
          <w:numId w:val="1008"/>
        </w:numPr>
      </w:pPr>
      <w:r>
        <w:t xml:space="preserve">Confirmation that 2Q seasonality and timing played out as expected.</w:t>
      </w:r>
    </w:p>
    <w:p>
      <w:pPr>
        <w:pStyle w:val="Compact"/>
        <w:numPr>
          <w:ilvl w:val="0"/>
          <w:numId w:val="1008"/>
        </w:numPr>
      </w:pPr>
      <w:r>
        <w:t xml:space="preserve">Clearer evidence that the $1.5 billion transmission increase is executable and has firm regulatory/recovery visibility.</w:t>
      </w:r>
    </w:p>
    <w:p>
      <w:pPr>
        <w:pStyle w:val="Compact"/>
        <w:numPr>
          <w:ilvl w:val="0"/>
          <w:numId w:val="1008"/>
        </w:numPr>
      </w:pPr>
      <w:r>
        <w:t xml:space="preserve">Constructive updates on Pepco Maryland, Delaware interim rates, and PECO stakeholder engagement.</w:t>
      </w:r>
    </w:p>
    <w:p>
      <w:pPr>
        <w:pStyle w:val="Compact"/>
        <w:numPr>
          <w:ilvl w:val="0"/>
          <w:numId w:val="1008"/>
        </w:numPr>
      </w:pPr>
      <w:r>
        <w:t xml:space="preserve">A maintained or improved outlook for the 7.9% rate-base CAGR and upper-end 5%–7% EPS growth ambition.</w:t>
      </w:r>
    </w:p>
    <w:p>
      <w:pPr>
        <w:pStyle w:val="Compact"/>
        <w:numPr>
          <w:ilvl w:val="0"/>
          <w:numId w:val="1008"/>
        </w:numPr>
      </w:pPr>
      <w:r>
        <w:t xml:space="preserve">More specificity around data-center interconnection agreements, collateral, and transmission awards.</w:t>
      </w:r>
    </w:p>
    <w:bookmarkEnd w:id="23"/>
    <w:bookmarkStart w:id="24" w:name="potential-negatives"/>
    <w:p>
      <w:pPr>
        <w:pStyle w:val="Heading3"/>
      </w:pPr>
      <w:r>
        <w:t xml:space="preserve">Potential negatives</w:t>
      </w:r>
    </w:p>
    <w:p>
      <w:pPr>
        <w:pStyle w:val="Compact"/>
        <w:numPr>
          <w:ilvl w:val="0"/>
          <w:numId w:val="1009"/>
        </w:numPr>
      </w:pPr>
      <w:r>
        <w:t xml:space="preserve">Any guide de-risking driven by storms, interest expense, credit losses, or adverse regulatory timing.</w:t>
      </w:r>
    </w:p>
    <w:p>
      <w:pPr>
        <w:pStyle w:val="Compact"/>
        <w:numPr>
          <w:ilvl w:val="0"/>
          <w:numId w:val="1009"/>
        </w:numPr>
      </w:pPr>
      <w:r>
        <w:t xml:space="preserve">Further capital deferrals without adequately identified replacement transmission opportunities.</w:t>
      </w:r>
    </w:p>
    <w:p>
      <w:pPr>
        <w:pStyle w:val="Compact"/>
        <w:numPr>
          <w:ilvl w:val="0"/>
          <w:numId w:val="1009"/>
        </w:numPr>
      </w:pPr>
      <w:r>
        <w:t xml:space="preserve">A worsening PECO credit/rating outlook or a more adverse assessment of Pennsylvania regulatory returns.</w:t>
      </w:r>
    </w:p>
    <w:p>
      <w:pPr>
        <w:pStyle w:val="Compact"/>
        <w:numPr>
          <w:ilvl w:val="0"/>
          <w:numId w:val="1009"/>
        </w:numPr>
      </w:pPr>
      <w:r>
        <w:t xml:space="preserve">Greater-than-expected equity needs, lower consolidated credit metrics, or increased financing-cost assumptions.</w:t>
      </w:r>
    </w:p>
    <w:p>
      <w:pPr>
        <w:pStyle w:val="Compact"/>
        <w:numPr>
          <w:ilvl w:val="0"/>
          <w:numId w:val="1009"/>
        </w:numPr>
      </w:pPr>
      <w:r>
        <w:t xml:space="preserve">Evidence that affordability initiatives are creating unrecovered costs or curbing rate-base investment.</w:t>
      </w:r>
    </w:p>
    <w:bookmarkEnd w:id="24"/>
    <w:bookmarkEnd w:id="25"/>
    <w:bookmarkStart w:id="27" w:name="bottom-line"/>
    <w:p>
      <w:pPr>
        <w:pStyle w:val="Heading2"/>
      </w:pPr>
      <w:r>
        <w:t xml:space="preserve">Bottom line</w:t>
      </w:r>
    </w:p>
    <w:p>
      <w:pPr>
        <w:pStyle w:val="FirstParagraph"/>
      </w:pPr>
      <w:r>
        <w:t xml:space="preserve">Exelon’s 2Q26 report should be viewed as a</w:t>
      </w:r>
      <w:r>
        <w:t xml:space="preserve"> </w:t>
      </w:r>
      <w:r>
        <w:rPr>
          <w:b/>
          <w:bCs/>
        </w:rPr>
        <w:t xml:space="preserve">strategy-validation event rather than a pure EPS event</w:t>
      </w:r>
      <w:r>
        <w:t xml:space="preserve">. The company has provided enough quarter-specific guidance that a result near roughly $0.43 per share would not, by itself, resolve the investment debate.</w:t>
      </w:r>
    </w:p>
    <w:p>
      <w:pPr>
        <w:pStyle w:val="BodyText"/>
      </w:pPr>
      <w:r>
        <w:t xml:space="preserve">The most constructive outcome would be a reaffirmed full-year outlook accompanied by credible evidence that Exelon can:</w:t>
      </w:r>
      <w:r>
        <w:t xml:space="preserve"> </w:t>
      </w:r>
      <w:r>
        <w:rPr>
          <w:b/>
          <w:bCs/>
        </w:rPr>
        <w:t xml:space="preserve">(1)</w:t>
      </w:r>
      <w:r>
        <w:t xml:space="preserve"> </w:t>
      </w:r>
      <w:r>
        <w:t xml:space="preserve">manage the Pennsylvania reset without damaging its earnings algorithm,</w:t>
      </w:r>
      <w:r>
        <w:t xml:space="preserve"> </w:t>
      </w:r>
      <w:r>
        <w:rPr>
          <w:b/>
          <w:bCs/>
        </w:rPr>
        <w:t xml:space="preserve">(2)</w:t>
      </w:r>
      <w:r>
        <w:t xml:space="preserve"> </w:t>
      </w:r>
      <w:r>
        <w:t xml:space="preserve">convert transmission and large-load opportunities into executable capital, and</w:t>
      </w:r>
      <w:r>
        <w:t xml:space="preserve"> </w:t>
      </w:r>
      <w:r>
        <w:rPr>
          <w:b/>
          <w:bCs/>
        </w:rPr>
        <w:t xml:space="preserve">(3)</w:t>
      </w:r>
      <w:r>
        <w:t xml:space="preserve"> </w:t>
      </w:r>
      <w:r>
        <w:t xml:space="preserve">retain the regulatory and credit support required to finance a $41.7 billion plan.</w:t>
      </w:r>
    </w:p>
    <w:p>
      <w:pPr>
        <w:pStyle w:val="BodyText"/>
      </w:pPr>
      <w:r>
        <w:t xml:space="preserve">Conversely, if management cannot provide firmer visibility on Pennsylvania recovery, replacement capital, and credit protection, the stock is likely to remain constrained even if the 2Q EPS print meets expectations.</w:t>
      </w:r>
    </w:p>
    <w:p>
      <w:r>
        <w:pict>
          <v:rect style="width:0;height:1.5pt" o:hralign="center" o:hrstd="t" o:hr="t"/>
        </w:pict>
      </w:r>
    </w:p>
    <w:bookmarkStart w:id="26" w:name="sources-reviewed"/>
    <w:p>
      <w:pPr>
        <w:pStyle w:val="Heading3"/>
      </w:pPr>
      <w:r>
        <w:t xml:space="preserve">Sources reviewed</w:t>
      </w:r>
    </w:p>
    <w:p>
      <w:pPr>
        <w:pStyle w:val="Compact"/>
        <w:numPr>
          <w:ilvl w:val="0"/>
          <w:numId w:val="1010"/>
        </w:numPr>
      </w:pPr>
      <w:r>
        <w:t xml:space="preserve">Exelon 1Q26 earnings release, presentation, earnings-call transcript, and 1Q26 Form 10-Q.</w:t>
      </w:r>
    </w:p>
    <w:p>
      <w:pPr>
        <w:pStyle w:val="Compact"/>
        <w:numPr>
          <w:ilvl w:val="0"/>
          <w:numId w:val="1010"/>
        </w:numPr>
      </w:pPr>
      <w:r>
        <w:t xml:space="preserve">Exelon 2Q25 earnings-call transcript.</w:t>
      </w:r>
    </w:p>
    <w:p>
      <w:pPr>
        <w:pStyle w:val="Compact"/>
        <w:numPr>
          <w:ilvl w:val="0"/>
          <w:numId w:val="1010"/>
        </w:numPr>
      </w:pPr>
      <w:r>
        <w:t xml:space="preserve">Exelon July 6, 2026 earnings-date announcement.</w:t>
      </w:r>
    </w:p>
    <w:p>
      <w:pPr>
        <w:pStyle w:val="Compact"/>
        <w:numPr>
          <w:ilvl w:val="0"/>
          <w:numId w:val="1010"/>
        </w:numPr>
      </w:pPr>
      <w:r>
        <w:t xml:space="preserve">Historical EXC, XLU, and SPY closing-price data through July 29, 2026.</w:t>
      </w:r>
    </w:p>
    <w:bookmarkEnd w:id="26"/>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2026-07-29T18:53:03Z</dcterms:created>
  <dcterms:modified xsi:type="dcterms:W3CDTF">2026-07-29T18:53:03Z</dcterms:modified>
</cp:coreProperties>
</file>

<file path=docProps/custom.xml><?xml version="1.0" encoding="utf-8"?>
<Properties xmlns="http://schemas.openxmlformats.org/officeDocument/2006/custom-properties" xmlns:vt="http://schemas.openxmlformats.org/officeDocument/2006/docPropsVTypes"/>
</file>