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Exelon Corporation (EXC)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Exelon Corporation</w:t>
            </w:r>
          </w:p>
        </w:tc>
      </w:tr>
      <w:tr>
        <w:tc>
          <w:tcPr>
            <w:tcW w:type="dxa" w:w="4320"/>
          </w:tcPr>
          <w:p>
            <w:r>
              <w:rPr>
                <w:rFonts w:ascii="Calibri" w:hAnsi="Calibri"/>
                <w:b/>
                <w:sz w:val="22"/>
              </w:rPr>
              <w:t>Ticker</w:t>
            </w:r>
          </w:p>
        </w:tc>
        <w:tc>
          <w:tcPr>
            <w:tcW w:type="dxa" w:w="4320"/>
          </w:tcPr>
          <w:p>
            <w:r>
              <w:rPr>
                <w:rFonts w:ascii="Calibri" w:hAnsi="Calibri"/>
                <w:sz w:val="22"/>
              </w:rPr>
              <w:t>NASDAQ: EXC</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Last Earnings Date</w:t>
            </w:r>
          </w:p>
        </w:tc>
        <w:tc>
          <w:tcPr>
            <w:tcW w:type="dxa" w:w="4320"/>
          </w:tcPr>
          <w:p>
            <w:r>
              <w:rPr>
                <w:rFonts w:ascii="Calibri" w:hAnsi="Calibri"/>
                <w:sz w:val="22"/>
              </w:rPr>
              <w:t>May 6, 2026 (Q1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&amp; Gas T&amp;D</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modest beat-or-in-line print, with the single biggest swing factor being whether management can credibly reaffirm the full-year $2.81–$2.91 EPS guidance range and signal a path to re-filing at PECO without triggering further regulatory anxiety.</w:t>
      </w:r>
    </w:p>
    <w:p>
      <w:r>
        <w:rPr>
          <w:rFonts w:ascii="Calibri" w:hAnsi="Calibri"/>
          <w:color w:val="525866"/>
          <w:sz w:val="22"/>
        </w:rPr>
        <w:t>Heading into Q2 2026, the bar for EXC is low-to-fair: consensus sits at $0.43 adjusted operating EPS, implying a meaningful step-down from Q1’s $0.91 and consistent with management’s own guidance that Q2 should represent approximately 15% of the full-year midpoint (~$0.43), so there is little room for a weather-driven upside surprise to move the needle the way Q1 did. Management’s tone on the Q1 call was deliberately cautious—framing the PECO rate case withdrawal as a “deliberate timing-based decision” and pivoting the capital plan toward transmission—but the reaffirmation of full-year guidance and the long-term 5–7% growth target near the top end signals confidence in the underlying earnings engine. Estimate revisions have been modestly negative since the Q1 print (Q2 consensus slipped from $0.47 to $0.43), reflecting the PECO earnings headwind and higher interest expense, but full-year 2026 consensus of $2.85 sits essentially in line with the $2.86 midpoint of guidance, suggesting the Street has already absorbed the bad news. The stock has recovered ~4.5% since the Q1 earnings-day selloff (from $45.02 to ~$47), outperforming XLU, which is flat-to-down over the same period, indicating the market has largely priced in the PECO setback and is now focused on the transmission growth story and data center interconnection pipeline. The key wildcard is Pennsylvania regulatory clarity: any signal—positive or negative—on the timing of a re-filed PECO rate case or on Governor Shapiro’s posture toward utility investment could move the stock more than the Q2 EPS print itself.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low-to-fair bar for Q2 2026—the $0.43 adjusted EPS estimate is essentially in line with management’s own seasonal guidance of ~15% of the full-year midpoint, leaving little room for a meaningful beat; revenue at $5.69B is the bigger swing factor given weather and load variability.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Adjusted Operating EPS ($)</w:t>
            </w:r>
          </w:p>
        </w:tc>
        <w:tc>
          <w:tcPr>
            <w:tcW w:type="dxa" w:w="1234"/>
          </w:tcPr>
          <w:p>
            <w:r>
              <w:rPr>
                <w:rFonts w:ascii="Calibri" w:hAnsi="Calibri"/>
                <w:sz w:val="22"/>
              </w:rPr>
              <w:t>$0.91</w:t>
            </w:r>
          </w:p>
        </w:tc>
        <w:tc>
          <w:tcPr>
            <w:tcW w:type="dxa" w:w="1234"/>
          </w:tcPr>
          <w:p>
            <w:r>
              <w:rPr>
                <w:rFonts w:ascii="Calibri" w:hAnsi="Calibri"/>
                <w:sz w:val="22"/>
              </w:rPr>
              <w:t>$0.39</w:t>
            </w:r>
          </w:p>
        </w:tc>
        <w:tc>
          <w:tcPr>
            <w:tcW w:type="dxa" w:w="1234"/>
          </w:tcPr>
          <w:p>
            <w:r>
              <w:rPr>
                <w:rFonts w:ascii="Calibri" w:hAnsi="Calibri"/>
                <w:sz w:val="22"/>
              </w:rPr>
              <w:t>$0.43</w:t>
            </w:r>
          </w:p>
        </w:tc>
        <w:tc>
          <w:tcPr>
            <w:tcW w:type="dxa" w:w="1234"/>
          </w:tcPr>
          <w:p>
            <w:r>
              <w:rPr>
                <w:rFonts w:ascii="Calibri" w:hAnsi="Calibri"/>
                <w:sz w:val="22"/>
              </w:rPr>
              <w:t>+11.2% YoY</w:t>
            </w:r>
          </w:p>
        </w:tc>
        <w:tc>
          <w:tcPr>
            <w:tcW w:type="dxa" w:w="1234"/>
          </w:tcPr>
          <w:p>
            <w:r>
              <w:rPr>
                <w:rFonts w:ascii="Calibri" w:hAnsi="Calibri"/>
                <w:sz w:val="22"/>
              </w:rPr>
              <w:t>~15% of FY midpoint (~$0.43)</w:t>
            </w:r>
          </w:p>
        </w:tc>
        <w:tc>
          <w:tcPr>
            <w:tcW w:type="dxa" w:w="1234"/>
          </w:tcPr>
          <w:p>
            <w:r>
              <w:rPr>
                <w:rFonts w:ascii="Calibri" w:hAnsi="Calibri"/>
                <w:sz w:val="22"/>
              </w:rPr>
              <w:t>~0% (in line)</w:t>
            </w:r>
          </w:p>
        </w:tc>
      </w:tr>
      <w:tr>
        <w:tc>
          <w:tcPr>
            <w:tcW w:type="dxa" w:w="1234"/>
          </w:tcPr>
          <w:p>
            <w:r>
              <w:rPr>
                <w:rFonts w:ascii="Calibri" w:hAnsi="Calibri"/>
                <w:sz w:val="22"/>
              </w:rPr>
              <w:t>Total Operating Revenues ($B)</w:t>
            </w:r>
          </w:p>
        </w:tc>
        <w:tc>
          <w:tcPr>
            <w:tcW w:type="dxa" w:w="1234"/>
          </w:tcPr>
          <w:p>
            <w:r>
              <w:rPr>
                <w:rFonts w:ascii="Calibri" w:hAnsi="Calibri"/>
                <w:sz w:val="22"/>
              </w:rPr>
              <w:t>$7.24B</w:t>
            </w:r>
          </w:p>
        </w:tc>
        <w:tc>
          <w:tcPr>
            <w:tcW w:type="dxa" w:w="1234"/>
          </w:tcPr>
          <w:p>
            <w:r>
              <w:rPr>
                <w:rFonts w:ascii="Calibri" w:hAnsi="Calibri"/>
                <w:sz w:val="22"/>
              </w:rPr>
              <w:t>$5.43B</w:t>
            </w:r>
          </w:p>
        </w:tc>
        <w:tc>
          <w:tcPr>
            <w:tcW w:type="dxa" w:w="1234"/>
          </w:tcPr>
          <w:p>
            <w:r>
              <w:rPr>
                <w:rFonts w:ascii="Calibri" w:hAnsi="Calibri"/>
                <w:sz w:val="22"/>
              </w:rPr>
              <w:t>$5.69B</w:t>
            </w:r>
          </w:p>
        </w:tc>
        <w:tc>
          <w:tcPr>
            <w:tcW w:type="dxa" w:w="1234"/>
          </w:tcPr>
          <w:p>
            <w:r>
              <w:rPr>
                <w:rFonts w:ascii="Calibri" w:hAnsi="Calibri"/>
                <w:sz w:val="22"/>
              </w:rPr>
              <w:t>+4.8%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Operating &amp; Maintenance ($B)</w:t>
            </w:r>
          </w:p>
        </w:tc>
        <w:tc>
          <w:tcPr>
            <w:tcW w:type="dxa" w:w="1234"/>
          </w:tcPr>
          <w:p>
            <w:r>
              <w:rPr>
                <w:rFonts w:ascii="Calibri" w:hAnsi="Calibri"/>
                <w:sz w:val="22"/>
              </w:rPr>
              <w:t>$1.47B</w:t>
            </w:r>
          </w:p>
        </w:tc>
        <w:tc>
          <w:tcPr>
            <w:tcW w:type="dxa" w:w="1234"/>
          </w:tcPr>
          <w:p>
            <w:r>
              <w:rPr>
                <w:rFonts w:ascii="Calibri" w:hAnsi="Calibri"/>
                <w:sz w:val="22"/>
              </w:rPr>
              <w:t>$1.32B</w:t>
            </w:r>
          </w:p>
        </w:tc>
        <w:tc>
          <w:tcPr>
            <w:tcW w:type="dxa" w:w="1234"/>
          </w:tcPr>
          <w:p>
            <w:r>
              <w:rPr>
                <w:rFonts w:ascii="Calibri" w:hAnsi="Calibri"/>
                <w:sz w:val="22"/>
              </w:rPr>
              <w:t>$1.35B</w:t>
            </w:r>
          </w:p>
        </w:tc>
        <w:tc>
          <w:tcPr>
            <w:tcW w:type="dxa" w:w="1234"/>
          </w:tcPr>
          <w:p>
            <w:r>
              <w:rPr>
                <w:rFonts w:ascii="Calibri" w:hAnsi="Calibri"/>
                <w:sz w:val="22"/>
              </w:rPr>
              <w:t>+2.3% YoY</w:t>
            </w:r>
          </w:p>
        </w:tc>
        <w:tc>
          <w:tcPr>
            <w:tcW w:type="dxa" w:w="1234"/>
          </w:tcPr>
          <w:p>
            <w:r>
              <w:rPr>
                <w:rFonts w:ascii="Calibri" w:hAnsi="Calibri"/>
                <w:sz w:val="22"/>
              </w:rPr>
              <w:t>≤2% annual O&amp;M growth through 2029</w:t>
            </w:r>
          </w:p>
        </w:tc>
        <w:tc>
          <w:tcPr>
            <w:tcW w:type="dxa" w:w="1234"/>
          </w:tcPr>
          <w:p>
            <w:r>
              <w:rPr>
                <w:rFonts w:ascii="Calibri" w:hAnsi="Calibri"/>
                <w:sz w:val="22"/>
              </w:rPr>
              <w:t>Within target</w:t>
            </w:r>
          </w:p>
        </w:tc>
      </w:tr>
      <w:tr>
        <w:tc>
          <w:tcPr>
            <w:tcW w:type="dxa" w:w="1234"/>
          </w:tcPr>
          <w:p>
            <w:r>
              <w:rPr>
                <w:rFonts w:ascii="Calibri" w:hAnsi="Calibri"/>
                <w:sz w:val="22"/>
              </w:rPr>
              <w:t>Capital Expenditures ($B)</w:t>
            </w:r>
          </w:p>
        </w:tc>
        <w:tc>
          <w:tcPr>
            <w:tcW w:type="dxa" w:w="1234"/>
          </w:tcPr>
          <w:p>
            <w:r>
              <w:rPr>
                <w:rFonts w:ascii="Calibri" w:hAnsi="Calibri"/>
                <w:sz w:val="22"/>
              </w:rPr>
              <w:t>$2.36B</w:t>
            </w:r>
          </w:p>
        </w:tc>
        <w:tc>
          <w:tcPr>
            <w:tcW w:type="dxa" w:w="1234"/>
          </w:tcPr>
          <w:p>
            <w:r>
              <w:rPr>
                <w:rFonts w:ascii="Calibri" w:hAnsi="Calibri"/>
                <w:sz w:val="22"/>
              </w:rPr>
              <w:t>$2.01B</w:t>
            </w:r>
          </w:p>
        </w:tc>
        <w:tc>
          <w:tcPr>
            <w:tcW w:type="dxa" w:w="1234"/>
          </w:tcPr>
          <w:p>
            <w:r>
              <w:rPr>
                <w:rFonts w:ascii="Calibri" w:hAnsi="Calibri"/>
                <w:sz w:val="22"/>
              </w:rPr>
              <w:t>$2.54B</w:t>
            </w:r>
          </w:p>
        </w:tc>
        <w:tc>
          <w:tcPr>
            <w:tcW w:type="dxa" w:w="1234"/>
          </w:tcPr>
          <w:p>
            <w:r>
              <w:rPr>
                <w:rFonts w:ascii="Calibri" w:hAnsi="Calibri"/>
                <w:sz w:val="22"/>
              </w:rPr>
              <w:t>+26.4% YoY</w:t>
            </w:r>
          </w:p>
        </w:tc>
        <w:tc>
          <w:tcPr>
            <w:tcW w:type="dxa" w:w="1234"/>
          </w:tcPr>
          <w:p>
            <w:r>
              <w:rPr>
                <w:rFonts w:ascii="Calibri" w:hAnsi="Calibri"/>
                <w:sz w:val="22"/>
              </w:rPr>
              <w:t>~$10B for FY 2026</w:t>
            </w:r>
          </w:p>
        </w:tc>
        <w:tc>
          <w:tcPr>
            <w:tcW w:type="dxa" w:w="1234"/>
          </w:tcPr>
          <w:p>
            <w:r>
              <w:rPr>
                <w:rFonts w:ascii="Calibri" w:hAnsi="Calibri"/>
                <w:sz w:val="22"/>
              </w:rPr>
              <w:t>On track</w:t>
            </w:r>
          </w:p>
        </w:tc>
      </w:tr>
      <w:tr>
        <w:tc>
          <w:tcPr>
            <w:tcW w:type="dxa" w:w="1234"/>
          </w:tcPr>
          <w:p>
            <w:r>
              <w:rPr>
                <w:rFonts w:ascii="Calibri" w:hAnsi="Calibri"/>
                <w:sz w:val="22"/>
              </w:rPr>
              <w:t>EBITDA — Operating ($B)</w:t>
            </w:r>
          </w:p>
        </w:tc>
        <w:tc>
          <w:tcPr>
            <w:tcW w:type="dxa" w:w="1234"/>
          </w:tcPr>
          <w:p>
            <w:r>
              <w:rPr>
                <w:rFonts w:ascii="Calibri" w:hAnsi="Calibri"/>
                <w:sz w:val="22"/>
              </w:rPr>
              <w:t>$2.64B</w:t>
            </w:r>
          </w:p>
        </w:tc>
        <w:tc>
          <w:tcPr>
            <w:tcW w:type="dxa" w:w="1234"/>
          </w:tcPr>
          <w:p>
            <w:r>
              <w:rPr>
                <w:rFonts w:ascii="Calibri" w:hAnsi="Calibri"/>
                <w:sz w:val="22"/>
              </w:rPr>
              <w:t>$1.89B</w:t>
            </w:r>
          </w:p>
        </w:tc>
        <w:tc>
          <w:tcPr>
            <w:tcW w:type="dxa" w:w="1234"/>
          </w:tcPr>
          <w:p>
            <w:r>
              <w:rPr>
                <w:rFonts w:ascii="Calibri" w:hAnsi="Calibri"/>
                <w:sz w:val="22"/>
              </w:rPr>
              <w:t>$2.01B</w:t>
            </w:r>
          </w:p>
        </w:tc>
        <w:tc>
          <w:tcPr>
            <w:tcW w:type="dxa" w:w="1234"/>
          </w:tcPr>
          <w:p>
            <w:r>
              <w:rPr>
                <w:rFonts w:ascii="Calibri" w:hAnsi="Calibri"/>
                <w:sz w:val="22"/>
              </w:rPr>
              <w:t>+6.2%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FY 2026 Adj. Operating EPS ($)</w:t>
            </w:r>
          </w:p>
        </w:tc>
        <w:tc>
          <w:tcPr>
            <w:tcW w:type="dxa" w:w="1234"/>
          </w:tcPr>
          <w:p>
            <w:r>
              <w:rPr>
                <w:rFonts w:ascii="Calibri" w:hAnsi="Calibri"/>
                <w:sz w:val="22"/>
              </w:rPr>
              <w:t>N/A (in-year)</w:t>
            </w:r>
          </w:p>
        </w:tc>
        <w:tc>
          <w:tcPr>
            <w:tcW w:type="dxa" w:w="1234"/>
          </w:tcPr>
          <w:p>
            <w:r>
              <w:rPr>
                <w:rFonts w:ascii="Calibri" w:hAnsi="Calibri"/>
                <w:sz w:val="22"/>
              </w:rPr>
              <w:t>$2.77 (FY 2025 actual)</w:t>
            </w:r>
          </w:p>
        </w:tc>
        <w:tc>
          <w:tcPr>
            <w:tcW w:type="dxa" w:w="1234"/>
          </w:tcPr>
          <w:p>
            <w:r>
              <w:rPr>
                <w:rFonts w:ascii="Calibri" w:hAnsi="Calibri"/>
                <w:sz w:val="22"/>
              </w:rPr>
              <w:t>$2.85</w:t>
            </w:r>
          </w:p>
        </w:tc>
        <w:tc>
          <w:tcPr>
            <w:tcW w:type="dxa" w:w="1234"/>
          </w:tcPr>
          <w:p>
            <w:r>
              <w:rPr>
                <w:rFonts w:ascii="Calibri" w:hAnsi="Calibri"/>
                <w:sz w:val="22"/>
              </w:rPr>
              <w:t>+2.9% YoY</w:t>
            </w:r>
          </w:p>
        </w:tc>
        <w:tc>
          <w:tcPr>
            <w:tcW w:type="dxa" w:w="1234"/>
          </w:tcPr>
          <w:p>
            <w:r>
              <w:rPr>
                <w:rFonts w:ascii="Calibri" w:hAnsi="Calibri"/>
                <w:sz w:val="22"/>
              </w:rPr>
              <w:t>$2.81–$2.91 (midpoint $2.86)</w:t>
            </w:r>
          </w:p>
        </w:tc>
        <w:tc>
          <w:tcPr>
            <w:tcW w:type="dxa" w:w="1234"/>
          </w:tcPr>
          <w:p>
            <w:r>
              <w:rPr>
                <w:rFonts w:ascii="Calibri" w:hAnsi="Calibri"/>
                <w:sz w:val="22"/>
              </w:rPr>
              <w:t>-0.3% (just below midpoint)</w:t>
            </w:r>
          </w:p>
        </w:tc>
      </w:tr>
    </w:tbl>
    <w:p>
      <w:r>
        <w:rPr>
          <w:rFonts w:ascii="Calibri" w:hAnsi="Calibri"/>
          <w:i/>
          <w:color w:val="525866"/>
          <w:sz w:val="22"/>
        </w:rPr>
        <w:t>Source: Visible Alpha Consensus and Actuals Data. Q2 2025 actual adjusted operating EPS = $0.387; Q2 2026 consensus = $0.434; Q1 2026 actual = $0.906. FY 2026 consensus = $2.854 vs. guidance midpoint $2.860. O&amp;M and CapEx consensus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$0.906</w:t>
            </w:r>
          </w:p>
        </w:tc>
        <w:tc>
          <w:tcPr>
            <w:tcW w:type="dxa" w:w="1728"/>
          </w:tcPr>
          <w:p>
            <w:r>
              <w:rPr>
                <w:rFonts w:ascii="Calibri" w:hAnsi="Calibri"/>
                <w:sz w:val="22"/>
              </w:rPr>
              <w:t>$0.884</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$0.595</w:t>
            </w:r>
          </w:p>
        </w:tc>
        <w:tc>
          <w:tcPr>
            <w:tcW w:type="dxa" w:w="1728"/>
          </w:tcPr>
          <w:p>
            <w:r>
              <w:rPr>
                <w:rFonts w:ascii="Calibri" w:hAnsi="Calibri"/>
                <w:sz w:val="22"/>
              </w:rPr>
              <w:t>$0.533</w:t>
            </w:r>
          </w:p>
        </w:tc>
        <w:tc>
          <w:tcPr>
            <w:tcW w:type="dxa" w:w="1728"/>
          </w:tcPr>
          <w:p>
            <w:r>
              <w:rPr>
                <w:rFonts w:ascii="Calibri" w:hAnsi="Calibri"/>
                <w:sz w:val="22"/>
              </w:rPr>
              <w:t>+11.6%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$0.863</w:t>
            </w:r>
          </w:p>
        </w:tc>
        <w:tc>
          <w:tcPr>
            <w:tcW w:type="dxa" w:w="1728"/>
          </w:tcPr>
          <w:p>
            <w:r>
              <w:rPr>
                <w:rFonts w:ascii="Calibri" w:hAnsi="Calibri"/>
                <w:sz w:val="22"/>
              </w:rPr>
              <w:t>$0.780</w:t>
            </w:r>
          </w:p>
        </w:tc>
        <w:tc>
          <w:tcPr>
            <w:tcW w:type="dxa" w:w="1728"/>
          </w:tcPr>
          <w:p>
            <w:r>
              <w:rPr>
                <w:rFonts w:ascii="Calibri" w:hAnsi="Calibri"/>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$0.387</w:t>
            </w:r>
          </w:p>
        </w:tc>
        <w:tc>
          <w:tcPr>
            <w:tcW w:type="dxa" w:w="1728"/>
          </w:tcPr>
          <w:p>
            <w:r>
              <w:rPr>
                <w:rFonts w:ascii="Calibri" w:hAnsi="Calibri"/>
                <w:sz w:val="22"/>
              </w:rPr>
              <w:t>$0.367</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$0.924</w:t>
            </w:r>
          </w:p>
        </w:tc>
        <w:tc>
          <w:tcPr>
            <w:tcW w:type="dxa" w:w="1728"/>
          </w:tcPr>
          <w:p>
            <w:r>
              <w:rPr>
                <w:rFonts w:ascii="Calibri" w:hAnsi="Calibri"/>
                <w:sz w:val="22"/>
              </w:rPr>
              <w:t>$0.877</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$0.639</w:t>
            </w:r>
          </w:p>
        </w:tc>
        <w:tc>
          <w:tcPr>
            <w:tcW w:type="dxa" w:w="1728"/>
          </w:tcPr>
          <w:p>
            <w:r>
              <w:rPr>
                <w:rFonts w:ascii="Calibri" w:hAnsi="Calibri"/>
                <w:sz w:val="22"/>
              </w:rPr>
              <w:t>$0.577</w:t>
            </w:r>
          </w:p>
        </w:tc>
        <w:tc>
          <w:tcPr>
            <w:tcW w:type="dxa" w:w="1728"/>
          </w:tcPr>
          <w:p>
            <w:r>
              <w:rPr>
                <w:rFonts w:ascii="Calibri" w:hAnsi="Calibri"/>
                <w:sz w:val="22"/>
              </w:rPr>
              <w:t>+10.7%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$0.705</w:t>
            </w:r>
          </w:p>
        </w:tc>
        <w:tc>
          <w:tcPr>
            <w:tcW w:type="dxa" w:w="1728"/>
          </w:tcPr>
          <w:p>
            <w:r>
              <w:rPr>
                <w:rFonts w:ascii="Calibri" w:hAnsi="Calibri"/>
                <w:sz w:val="22"/>
              </w:rPr>
              <w:t>$0.672</w:t>
            </w:r>
          </w:p>
        </w:tc>
        <w:tc>
          <w:tcPr>
            <w:tcW w:type="dxa" w:w="1728"/>
          </w:tcPr>
          <w:p>
            <w:r>
              <w:rPr>
                <w:rFonts w:ascii="Calibri" w:hAnsi="Calibri"/>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$0.471</w:t>
            </w:r>
          </w:p>
        </w:tc>
        <w:tc>
          <w:tcPr>
            <w:tcW w:type="dxa" w:w="1728"/>
          </w:tcPr>
          <w:p>
            <w:r>
              <w:rPr>
                <w:rFonts w:ascii="Calibri" w:hAnsi="Calibri"/>
                <w:sz w:val="22"/>
              </w:rPr>
              <w:t>$0.394</w:t>
            </w:r>
          </w:p>
        </w:tc>
        <w:tc>
          <w:tcPr>
            <w:tcW w:type="dxa" w:w="1728"/>
          </w:tcPr>
          <w:p>
            <w:r>
              <w:rPr>
                <w:rFonts w:ascii="Calibri" w:hAnsi="Calibri"/>
                <w:sz w:val="22"/>
              </w:rPr>
              <w:t>+19.5%</w:t>
            </w:r>
          </w:p>
        </w:tc>
        <w:tc>
          <w:tcPr>
            <w:tcW w:type="dxa" w:w="1728"/>
          </w:tcPr>
          <w:p>
            <w:r>
              <w:rPr>
                <w:rFonts w:ascii="Calibri" w:hAnsi="Calibri"/>
                <w:b/>
                <w:color w:val="30A46C"/>
                <w:sz w:val="22"/>
              </w:rPr>
              <w:t>Beat</w:t>
            </w:r>
          </w:p>
        </w:tc>
      </w:tr>
    </w:tbl>
    <w:p>
      <w:r>
        <w:rPr>
          <w:rFonts w:ascii="Calibri" w:hAnsi="Calibri"/>
          <w:i/>
          <w:color w:val="525866"/>
          <w:sz w:val="22"/>
        </w:rPr>
        <w:t>EXC has beaten adjusted operating EPS consensus in each of the last 8 quarters, with an average surprise of approximately +8.8%, suggesting the Street consistently sets a beatable bar—though Q2 2026 guidance is unusually precise (management guided ~15% of midpoint), which may compress the typical upside.</w:t>
      </w:r>
    </w:p>
    <w:p>
      <w:r>
        <w:rPr>
          <w:rFonts w:ascii="Calibri" w:hAnsi="Calibri"/>
          <w:b/>
          <w:color w:val="525866"/>
          <w:sz w:val="22"/>
        </w:rPr>
        <w:t>KPI 2: Total Operating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$7.24B</w:t>
            </w:r>
          </w:p>
        </w:tc>
        <w:tc>
          <w:tcPr>
            <w:tcW w:type="dxa" w:w="1728"/>
          </w:tcPr>
          <w:p>
            <w:r>
              <w:rPr>
                <w:rFonts w:ascii="Calibri" w:hAnsi="Calibri"/>
                <w:sz w:val="22"/>
              </w:rPr>
              <w:t>$6.78B</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$5.41B</w:t>
            </w:r>
          </w:p>
        </w:tc>
        <w:tc>
          <w:tcPr>
            <w:tcW w:type="dxa" w:w="1728"/>
          </w:tcPr>
          <w:p>
            <w:r>
              <w:rPr>
                <w:rFonts w:ascii="Calibri" w:hAnsi="Calibri"/>
                <w:sz w:val="22"/>
              </w:rPr>
              <w:t>$5.41B</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$6.71B</w:t>
            </w:r>
          </w:p>
        </w:tc>
        <w:tc>
          <w:tcPr>
            <w:tcW w:type="dxa" w:w="1728"/>
          </w:tcPr>
          <w:p>
            <w:r>
              <w:rPr>
                <w:rFonts w:ascii="Calibri" w:hAnsi="Calibri"/>
                <w:sz w:val="22"/>
              </w:rPr>
              <w:t>$6.38B</w:t>
            </w:r>
          </w:p>
        </w:tc>
        <w:tc>
          <w:tcPr>
            <w:tcW w:type="dxa" w:w="1728"/>
          </w:tcPr>
          <w:p>
            <w:r>
              <w:rPr>
                <w:rFonts w:ascii="Calibri" w:hAnsi="Calibri"/>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$5.43B</w:t>
            </w:r>
          </w:p>
        </w:tc>
        <w:tc>
          <w:tcPr>
            <w:tcW w:type="dxa" w:w="1728"/>
          </w:tcPr>
          <w:p>
            <w:r>
              <w:rPr>
                <w:rFonts w:ascii="Calibri" w:hAnsi="Calibri"/>
                <w:sz w:val="22"/>
              </w:rPr>
              <w:t>$5.32B</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$6.71B</w:t>
            </w:r>
          </w:p>
        </w:tc>
        <w:tc>
          <w:tcPr>
            <w:tcW w:type="dxa" w:w="1728"/>
          </w:tcPr>
          <w:p>
            <w:r>
              <w:rPr>
                <w:rFonts w:ascii="Calibri" w:hAnsi="Calibri"/>
                <w:sz w:val="22"/>
              </w:rPr>
              <w:t>$6.42B</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$5.47B</w:t>
            </w:r>
          </w:p>
        </w:tc>
        <w:tc>
          <w:tcPr>
            <w:tcW w:type="dxa" w:w="1728"/>
          </w:tcPr>
          <w:p>
            <w:r>
              <w:rPr>
                <w:rFonts w:ascii="Calibri" w:hAnsi="Calibri"/>
                <w:sz w:val="22"/>
              </w:rPr>
              <w:t>$4.89B</w:t>
            </w:r>
          </w:p>
        </w:tc>
        <w:tc>
          <w:tcPr>
            <w:tcW w:type="dxa" w:w="1728"/>
          </w:tcPr>
          <w:p>
            <w:r>
              <w:rPr>
                <w:rFonts w:ascii="Calibri" w:hAnsi="Calibri"/>
                <w:sz w:val="22"/>
              </w:rPr>
              <w:t>+11.9%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$6.15B</w:t>
            </w:r>
          </w:p>
        </w:tc>
        <w:tc>
          <w:tcPr>
            <w:tcW w:type="dxa" w:w="1728"/>
          </w:tcPr>
          <w:p>
            <w:r>
              <w:rPr>
                <w:rFonts w:ascii="Calibri" w:hAnsi="Calibri"/>
                <w:sz w:val="22"/>
              </w:rPr>
              <w:t>$5.82B</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$5.36B</w:t>
            </w:r>
          </w:p>
        </w:tc>
        <w:tc>
          <w:tcPr>
            <w:tcW w:type="dxa" w:w="1728"/>
          </w:tcPr>
          <w:p>
            <w:r>
              <w:rPr>
                <w:rFonts w:ascii="Calibri" w:hAnsi="Calibri"/>
                <w:sz w:val="22"/>
              </w:rPr>
              <w:t>$4.89B</w:t>
            </w:r>
          </w:p>
        </w:tc>
        <w:tc>
          <w:tcPr>
            <w:tcW w:type="dxa" w:w="1728"/>
          </w:tcPr>
          <w:p>
            <w:r>
              <w:rPr>
                <w:rFonts w:ascii="Calibri" w:hAnsi="Calibri"/>
                <w:sz w:val="22"/>
              </w:rPr>
              <w:t>+9.7%</w:t>
            </w:r>
          </w:p>
        </w:tc>
        <w:tc>
          <w:tcPr>
            <w:tcW w:type="dxa" w:w="1728"/>
          </w:tcPr>
          <w:p>
            <w:r>
              <w:rPr>
                <w:rFonts w:ascii="Calibri" w:hAnsi="Calibri"/>
                <w:b/>
                <w:color w:val="30A46C"/>
                <w:sz w:val="22"/>
              </w:rPr>
              <w:t>Beat</w:t>
            </w:r>
          </w:p>
        </w:tc>
      </w:tr>
    </w:tbl>
    <w:p>
      <w:r>
        <w:rPr>
          <w:rFonts w:ascii="Calibri" w:hAnsi="Calibri"/>
          <w:i/>
          <w:color w:val="525866"/>
          <w:sz w:val="22"/>
        </w:rPr>
        <w:t>Revenue beats have been consistent across the last 8 quarters (7 beats, 1 in-line), with an average positive surprise of approximately +5.7%; the Q2 2026 consensus of $5.69B represents a modest +4.8% YoY growth, a lower bar than recent quarters given the PECO distribution investment deferral.</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EPS guidance of $2.81–$2.91 was reaffirmed on the Q1 call with no post-earnings revisions; the tone has shifted from confident regulatory execution to defensive adaptation, with the PECO rate case withdrawal and capital plan rebalancing representing the most significant post-Q4 2025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Operating EPS</w:t>
            </w:r>
          </w:p>
        </w:tc>
        <w:tc>
          <w:tcPr>
            <w:tcW w:type="dxa" w:w="1728"/>
          </w:tcPr>
          <w:p>
            <w:r>
              <w:rPr>
                <w:rFonts w:ascii="Calibri" w:hAnsi="Calibri"/>
                <w:sz w:val="22"/>
              </w:rPr>
              <w:t>$2.81–$2.91 (midpoint $2.86); goal to be at midpoint or better</w:t>
            </w:r>
          </w:p>
        </w:tc>
        <w:tc>
          <w:tcPr>
            <w:tcW w:type="dxa" w:w="1728"/>
          </w:tcPr>
          <w:p>
            <w:r>
              <w:rPr>
                <w:rFonts w:ascii="Calibri" w:hAnsi="Calibri"/>
                <w:sz w:val="22"/>
              </w:rPr>
              <w:t>—</w:t>
            </w:r>
          </w:p>
        </w:tc>
        <w:tc>
          <w:tcPr>
            <w:tcW w:type="dxa" w:w="1728"/>
          </w:tcPr>
          <w:p>
            <w:r>
              <w:rPr>
                <w:rFonts w:ascii="Calibri" w:hAnsi="Calibri"/>
                <w:sz w:val="22"/>
              </w:rPr>
              <w:t>$2.85</w:t>
            </w:r>
          </w:p>
        </w:tc>
        <w:tc>
          <w:tcPr>
            <w:tcW w:type="dxa" w:w="1728"/>
          </w:tcPr>
          <w:p>
            <w:r>
              <w:rPr>
                <w:rFonts w:ascii="Calibri" w:hAnsi="Calibri"/>
                <w:sz w:val="22"/>
              </w:rPr>
              <w:t>Unchanged since Q1 call; consensus essentially at midpoint</w:t>
            </w:r>
          </w:p>
        </w:tc>
      </w:tr>
      <w:tr>
        <w:tc>
          <w:tcPr>
            <w:tcW w:type="dxa" w:w="1728"/>
          </w:tcPr>
          <w:p>
            <w:r>
              <w:rPr>
                <w:rFonts w:ascii="Calibri" w:hAnsi="Calibri"/>
                <w:sz w:val="22"/>
              </w:rPr>
              <w:t>Long-Term EPS Growth (2025–2029)</w:t>
            </w:r>
          </w:p>
        </w:tc>
        <w:tc>
          <w:tcPr>
            <w:tcW w:type="dxa" w:w="1728"/>
          </w:tcPr>
          <w:p>
            <w:r>
              <w:rPr>
                <w:rFonts w:ascii="Calibri" w:hAnsi="Calibri"/>
                <w:sz w:val="22"/>
              </w:rPr>
              <w:t>Near top end of 5–7% range</w:t>
            </w:r>
          </w:p>
        </w:tc>
        <w:tc>
          <w:tcPr>
            <w:tcW w:type="dxa" w:w="1728"/>
          </w:tcPr>
          <w:p>
            <w:r>
              <w:rPr>
                <w:rFonts w:ascii="Calibri" w:hAnsi="Calibri"/>
                <w:sz w:val="22"/>
              </w:rPr>
              <w:t>—</w:t>
            </w:r>
          </w:p>
        </w:tc>
        <w:tc>
          <w:tcPr>
            <w:tcW w:type="dxa" w:w="1728"/>
          </w:tcPr>
          <w:p>
            <w:r>
              <w:rPr>
                <w:rFonts w:ascii="Calibri" w:hAnsi="Calibri"/>
                <w:sz w:val="22"/>
              </w:rPr>
              <w:t>FY 2027 consensus $3.04 (+6.6% vs. FY 2026 consensus)</w:t>
            </w:r>
          </w:p>
        </w:tc>
        <w:tc>
          <w:tcPr>
            <w:tcW w:type="dxa" w:w="1728"/>
          </w:tcPr>
          <w:p>
            <w:r>
              <w:rPr>
                <w:rFonts w:ascii="Calibri" w:hAnsi="Calibri"/>
                <w:sz w:val="22"/>
              </w:rPr>
              <w:t>Reaffirmed on Q1 call; Street tracking near top end</w:t>
            </w:r>
          </w:p>
        </w:tc>
      </w:tr>
      <w:tr>
        <w:tc>
          <w:tcPr>
            <w:tcW w:type="dxa" w:w="1728"/>
          </w:tcPr>
          <w:p>
            <w:r>
              <w:rPr>
                <w:rFonts w:ascii="Calibri" w:hAnsi="Calibri"/>
                <w:sz w:val="22"/>
              </w:rPr>
              <w:t>Q2 2026 EPS Shaping</w:t>
            </w:r>
          </w:p>
        </w:tc>
        <w:tc>
          <w:tcPr>
            <w:tcW w:type="dxa" w:w="1728"/>
          </w:tcPr>
          <w:p>
            <w:r>
              <w:rPr>
                <w:rFonts w:ascii="Calibri" w:hAnsi="Calibri"/>
                <w:sz w:val="22"/>
              </w:rPr>
              <w:t>~15% of FY midpoint (~$0.43); 47% of FY in H1</w:t>
            </w:r>
          </w:p>
        </w:tc>
        <w:tc>
          <w:tcPr>
            <w:tcW w:type="dxa" w:w="1728"/>
          </w:tcPr>
          <w:p>
            <w:r>
              <w:rPr>
                <w:rFonts w:ascii="Calibri" w:hAnsi="Calibri"/>
                <w:sz w:val="22"/>
              </w:rPr>
              <w:t>—</w:t>
            </w:r>
          </w:p>
        </w:tc>
        <w:tc>
          <w:tcPr>
            <w:tcW w:type="dxa" w:w="1728"/>
          </w:tcPr>
          <w:p>
            <w:r>
              <w:rPr>
                <w:rFonts w:ascii="Calibri" w:hAnsi="Calibri"/>
                <w:sz w:val="22"/>
              </w:rPr>
              <w:t>$0.43</w:t>
            </w:r>
          </w:p>
        </w:tc>
        <w:tc>
          <w:tcPr>
            <w:tcW w:type="dxa" w:w="1728"/>
          </w:tcPr>
          <w:p>
            <w:r>
              <w:rPr>
                <w:rFonts w:ascii="Calibri" w:hAnsi="Calibri"/>
                <w:sz w:val="22"/>
              </w:rPr>
              <w:t>Consensus exactly in line with management’s seasonal shaping guidance</w:t>
            </w:r>
          </w:p>
        </w:tc>
      </w:tr>
      <w:tr>
        <w:tc>
          <w:tcPr>
            <w:tcW w:type="dxa" w:w="1728"/>
          </w:tcPr>
          <w:p>
            <w:r>
              <w:rPr>
                <w:rFonts w:ascii="Calibri" w:hAnsi="Calibri"/>
                <w:sz w:val="22"/>
              </w:rPr>
              <w:t>4-Year Capital Plan (2026–2029)</w:t>
            </w:r>
          </w:p>
        </w:tc>
        <w:tc>
          <w:tcPr>
            <w:tcW w:type="dxa" w:w="1728"/>
          </w:tcPr>
          <w:p>
            <w:r>
              <w:rPr>
                <w:rFonts w:ascii="Calibri" w:hAnsi="Calibri"/>
                <w:sz w:val="22"/>
              </w:rPr>
              <w:t>$41.7B total; ~$10B in 2026; rate base growth ~7.9% annualized</w:t>
            </w:r>
          </w:p>
        </w:tc>
        <w:tc>
          <w:tcPr>
            <w:tcW w:type="dxa" w:w="1728"/>
          </w:tcPr>
          <w:p>
            <w:r>
              <w:rPr>
                <w:rFonts w:ascii="Calibri" w:hAnsi="Calibri"/>
                <w:sz w:val="22"/>
              </w:rPr>
              <w:t>—</w:t>
            </w:r>
          </w:p>
        </w:tc>
        <w:tc>
          <w:tcPr>
            <w:tcW w:type="dxa" w:w="1728"/>
          </w:tcPr>
          <w:p>
            <w:r>
              <w:rPr>
                <w:rFonts w:ascii="Calibri" w:hAnsi="Calibri"/>
                <w:sz w:val="22"/>
              </w:rPr>
              <w:t>FY 2026 CapEx consensus $9.90B</w:t>
            </w:r>
          </w:p>
        </w:tc>
        <w:tc>
          <w:tcPr>
            <w:tcW w:type="dxa" w:w="1728"/>
          </w:tcPr>
          <w:p>
            <w:r>
              <w:rPr>
                <w:rFonts w:ascii="Calibri" w:hAnsi="Calibri"/>
                <w:sz w:val="22"/>
              </w:rPr>
              <w:t>Revised on Q1 call: $1.1B distribution deferrals (PECO/BGE) + $1.5B incremental transmission; no further changes</w:t>
            </w:r>
          </w:p>
        </w:tc>
      </w:tr>
      <w:tr>
        <w:tc>
          <w:tcPr>
            <w:tcW w:type="dxa" w:w="1728"/>
          </w:tcPr>
          <w:p>
            <w:r>
              <w:rPr>
                <w:rFonts w:ascii="Calibri" w:hAnsi="Calibri"/>
                <w:sz w:val="22"/>
              </w:rPr>
              <w:t>O&amp;M Growth Cap</w:t>
            </w:r>
          </w:p>
        </w:tc>
        <w:tc>
          <w:tcPr>
            <w:tcW w:type="dxa" w:w="1728"/>
          </w:tcPr>
          <w:p>
            <w:r>
              <w:rPr>
                <w:rFonts w:ascii="Calibri" w:hAnsi="Calibri"/>
                <w:sz w:val="22"/>
              </w:rPr>
              <w:t>≤2% annual adjusted O&amp;M growth through 2029; $350M incremental savings in 2027</w:t>
            </w:r>
          </w:p>
        </w:tc>
        <w:tc>
          <w:tcPr>
            <w:tcW w:type="dxa" w:w="1728"/>
          </w:tcPr>
          <w:p>
            <w:r>
              <w:rPr>
                <w:rFonts w:ascii="Calibri" w:hAnsi="Calibri"/>
                <w:sz w:val="22"/>
              </w:rPr>
              <w:t>—</w:t>
            </w:r>
          </w:p>
        </w:tc>
        <w:tc>
          <w:tcPr>
            <w:tcW w:type="dxa" w:w="1728"/>
          </w:tcPr>
          <w:p>
            <w:r>
              <w:rPr>
                <w:rFonts w:ascii="Calibri" w:hAnsi="Calibri"/>
                <w:sz w:val="22"/>
              </w:rPr>
              <w:t>FY 2026 O&amp;M consensus $5.32B</w:t>
            </w:r>
          </w:p>
        </w:tc>
        <w:tc>
          <w:tcPr>
            <w:tcW w:type="dxa" w:w="1728"/>
          </w:tcPr>
          <w:p>
            <w:r>
              <w:rPr>
                <w:rFonts w:ascii="Calibri" w:hAnsi="Calibri"/>
                <w:sz w:val="22"/>
              </w:rPr>
              <w:t>New target announced Q1 call; voluntary separation program planned for later in 2026</w:t>
            </w:r>
          </w:p>
        </w:tc>
      </w:tr>
      <w:tr>
        <w:tc>
          <w:tcPr>
            <w:tcW w:type="dxa" w:w="1728"/>
          </w:tcPr>
          <w:p>
            <w:r>
              <w:rPr>
                <w:rFonts w:ascii="Calibri" w:hAnsi="Calibri"/>
                <w:sz w:val="22"/>
              </w:rPr>
              <w:t>Transmission Rate Base Growth</w:t>
            </w:r>
          </w:p>
        </w:tc>
        <w:tc>
          <w:tcPr>
            <w:tcW w:type="dxa" w:w="1728"/>
          </w:tcPr>
          <w:p>
            <w:r>
              <w:rPr>
                <w:rFonts w:ascii="Calibri" w:hAnsi="Calibri"/>
                <w:sz w:val="22"/>
              </w:rPr>
              <w:t>~16% annualized through 2029; $12–$17B upside outside plan period</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Reaffirmed Q1 call; MISO Tranche 2.1 bids (~$1.9B) submitted in Feb 2026; 2 additional PJM bids expected</w:t>
            </w:r>
          </w:p>
        </w:tc>
      </w:tr>
      <w:tr>
        <w:tc>
          <w:tcPr>
            <w:tcW w:type="dxa" w:w="1728"/>
          </w:tcPr>
          <w:p>
            <w:r>
              <w:rPr>
                <w:rFonts w:ascii="Calibri" w:hAnsi="Calibri"/>
                <w:sz w:val="22"/>
              </w:rPr>
              <w:t>PECO Rate Case</w:t>
            </w:r>
          </w:p>
        </w:tc>
        <w:tc>
          <w:tcPr>
            <w:tcW w:type="dxa" w:w="1728"/>
          </w:tcPr>
          <w:p>
            <w:r>
              <w:rPr>
                <w:rFonts w:ascii="Calibri" w:hAnsi="Calibri"/>
                <w:sz w:val="22"/>
              </w:rPr>
              <w:t>Withdrawn April 16, 2026 (electric $429M + gas $81M); no re-filing timeline given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Significant regulatory setback; PECO on negative credit outlook; interim CEO (Innocenzo) in place; re-filing timing is key watch item</w:t>
            </w:r>
          </w:p>
        </w:tc>
      </w:tr>
      <w:tr>
        <w:tc>
          <w:tcPr>
            <w:tcW w:type="dxa" w:w="1728"/>
          </w:tcPr>
          <w:p>
            <w:r>
              <w:rPr>
                <w:rFonts w:ascii="Calibri" w:hAnsi="Calibri"/>
                <w:sz w:val="22"/>
              </w:rPr>
              <w:t>Consolidated ROE (2026)</w:t>
            </w:r>
          </w:p>
        </w:tc>
        <w:tc>
          <w:tcPr>
            <w:tcW w:type="dxa" w:w="1728"/>
          </w:tcPr>
          <w:p>
            <w:r>
              <w:rPr>
                <w:rFonts w:ascii="Calibri" w:hAnsi="Calibri"/>
                <w:sz w:val="22"/>
              </w:rPr>
              <w:t>9–10% expected for FY 2026</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Reaffirmed Q1 call; credit metrics target ~14% FFO/debt at Moody’s and S&amp;P</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drifted slightly lower since the Q1 print (from $0.47 to $0.43), reflecting the PECO earnings headwind, while full-year 2026 and 2027 estimates are essentially unchanged—suggesting the Street has absorbed the bad news and is not pricing in further deterioration, which is a mild positive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11,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$0.467</w:t>
            </w:r>
          </w:p>
        </w:tc>
        <w:tc>
          <w:tcPr>
            <w:tcW w:type="dxa" w:w="1080"/>
          </w:tcPr>
          <w:p>
            <w:r>
              <w:rPr>
                <w:rFonts w:ascii="Calibri" w:hAnsi="Calibri"/>
                <w:sz w:val="22"/>
              </w:rPr>
              <w:t>$0.434</w:t>
            </w:r>
          </w:p>
        </w:tc>
        <w:tc>
          <w:tcPr>
            <w:tcW w:type="dxa" w:w="1080"/>
          </w:tcPr>
          <w:p>
            <w:r>
              <w:rPr>
                <w:rFonts w:ascii="Calibri" w:hAnsi="Calibri"/>
                <w:b/>
                <w:color w:val="E5484D"/>
                <w:sz w:val="22"/>
              </w:rPr>
              <w:t>-7.1%</w:t>
            </w:r>
          </w:p>
        </w:tc>
        <w:tc>
          <w:tcPr>
            <w:tcW w:type="dxa" w:w="1080"/>
          </w:tcPr>
          <w:p>
            <w:r>
              <w:rPr>
                <w:rFonts w:ascii="Calibri" w:hAnsi="Calibri"/>
                <w:sz w:val="22"/>
              </w:rPr>
              <w:t>~$0.43 (15% of FY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(in line)</w:t>
            </w:r>
          </w:p>
        </w:tc>
      </w:tr>
      <w:tr>
        <w:tc>
          <w:tcPr>
            <w:tcW w:type="dxa" w:w="1080"/>
          </w:tcPr>
          <w:p>
            <w:r>
              <w:rPr>
                <w:rFonts w:ascii="Calibri" w:hAnsi="Calibri"/>
                <w:sz w:val="22"/>
              </w:rPr>
              <w:t>Adj. Operating EPS — FY 2026</w:t>
            </w:r>
          </w:p>
        </w:tc>
        <w:tc>
          <w:tcPr>
            <w:tcW w:type="dxa" w:w="1080"/>
          </w:tcPr>
          <w:p>
            <w:r>
              <w:rPr>
                <w:rFonts w:ascii="Calibri" w:hAnsi="Calibri"/>
                <w:sz w:val="22"/>
              </w:rPr>
              <w:t>$2.863</w:t>
            </w:r>
          </w:p>
        </w:tc>
        <w:tc>
          <w:tcPr>
            <w:tcW w:type="dxa" w:w="1080"/>
          </w:tcPr>
          <w:p>
            <w:r>
              <w:rPr>
                <w:rFonts w:ascii="Calibri" w:hAnsi="Calibri"/>
                <w:sz w:val="22"/>
              </w:rPr>
              <w:t>$2.854</w:t>
            </w:r>
          </w:p>
        </w:tc>
        <w:tc>
          <w:tcPr>
            <w:tcW w:type="dxa" w:w="1080"/>
          </w:tcPr>
          <w:p>
            <w:r>
              <w:rPr>
                <w:rFonts w:ascii="Calibri" w:hAnsi="Calibri"/>
                <w:sz w:val="22"/>
              </w:rPr>
              <w:t>-0.3%</w:t>
            </w:r>
          </w:p>
        </w:tc>
        <w:tc>
          <w:tcPr>
            <w:tcW w:type="dxa" w:w="1080"/>
          </w:tcPr>
          <w:p>
            <w:r>
              <w:rPr>
                <w:rFonts w:ascii="Calibri" w:hAnsi="Calibri"/>
                <w:sz w:val="22"/>
              </w:rPr>
              <w:t>$2.81–$2.91 (mid $2.86)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(at midpoint)</w:t>
            </w:r>
          </w:p>
        </w:tc>
      </w:tr>
      <w:tr>
        <w:tc>
          <w:tcPr>
            <w:tcW w:type="dxa" w:w="1080"/>
          </w:tcPr>
          <w:p>
            <w:r>
              <w:rPr>
                <w:rFonts w:ascii="Calibri" w:hAnsi="Calibri"/>
                <w:sz w:val="22"/>
              </w:rPr>
              <w:t>Adj. Operating EPS — FY 2027</w:t>
            </w:r>
          </w:p>
        </w:tc>
        <w:tc>
          <w:tcPr>
            <w:tcW w:type="dxa" w:w="1080"/>
          </w:tcPr>
          <w:p>
            <w:r>
              <w:rPr>
                <w:rFonts w:ascii="Calibri" w:hAnsi="Calibri"/>
                <w:sz w:val="22"/>
              </w:rPr>
              <w:t>$3.055</w:t>
            </w:r>
          </w:p>
        </w:tc>
        <w:tc>
          <w:tcPr>
            <w:tcW w:type="dxa" w:w="1080"/>
          </w:tcPr>
          <w:p>
            <w:r>
              <w:rPr>
                <w:rFonts w:ascii="Calibri" w:hAnsi="Calibri"/>
                <w:sz w:val="22"/>
              </w:rPr>
              <w:t>$3.042</w:t>
            </w:r>
          </w:p>
        </w:tc>
        <w:tc>
          <w:tcPr>
            <w:tcW w:type="dxa" w:w="1080"/>
          </w:tcPr>
          <w:p>
            <w:r>
              <w:rPr>
                <w:rFonts w:ascii="Calibri" w:hAnsi="Calibri"/>
                <w:sz w:val="22"/>
              </w:rPr>
              <w:t>-0.4%</w:t>
            </w:r>
          </w:p>
        </w:tc>
        <w:tc>
          <w:tcPr>
            <w:tcW w:type="dxa" w:w="1080"/>
          </w:tcPr>
          <w:p>
            <w:r>
              <w:rPr>
                <w:rFonts w:ascii="Calibri" w:hAnsi="Calibri"/>
                <w:sz w:val="22"/>
              </w:rPr>
              <w:t>Near top end of 5–7% LT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+6.6% vs. FY 2026 consensus (within target range)</w:t>
            </w:r>
          </w:p>
        </w:tc>
      </w:tr>
      <w:tr>
        <w:tc>
          <w:tcPr>
            <w:tcW w:type="dxa" w:w="1080"/>
          </w:tcPr>
          <w:p>
            <w:r>
              <w:rPr>
                <w:rFonts w:ascii="Calibri" w:hAnsi="Calibri"/>
                <w:sz w:val="22"/>
              </w:rPr>
              <w:t>Total Revenue — Q2 2026</w:t>
            </w:r>
          </w:p>
        </w:tc>
        <w:tc>
          <w:tcPr>
            <w:tcW w:type="dxa" w:w="1080"/>
          </w:tcPr>
          <w:p>
            <w:r>
              <w:rPr>
                <w:rFonts w:ascii="Calibri" w:hAnsi="Calibri"/>
                <w:sz w:val="22"/>
              </w:rPr>
              <w:t>$5.845B</w:t>
            </w:r>
          </w:p>
        </w:tc>
        <w:tc>
          <w:tcPr>
            <w:tcW w:type="dxa" w:w="1080"/>
          </w:tcPr>
          <w:p>
            <w:r>
              <w:rPr>
                <w:rFonts w:ascii="Calibri" w:hAnsi="Calibri"/>
                <w:sz w:val="22"/>
              </w:rPr>
              <w:t>$5.690B</w:t>
            </w:r>
          </w:p>
        </w:tc>
        <w:tc>
          <w:tcPr>
            <w:tcW w:type="dxa" w:w="1080"/>
          </w:tcPr>
          <w:p>
            <w:r>
              <w:rPr>
                <w:rFonts w:ascii="Calibri" w:hAnsi="Calibri"/>
                <w:b/>
                <w:color w:val="E5484D"/>
                <w:sz w:val="22"/>
              </w:rPr>
              <w:t>-2.7%</w:t>
            </w:r>
          </w:p>
        </w:tc>
        <w:tc>
          <w:tcPr>
            <w:tcW w:type="dxa" w:w="1080"/>
          </w:tcPr>
          <w:p>
            <w:r>
              <w:rPr>
                <w:rFonts w:ascii="Calibri" w:hAnsi="Calibri"/>
                <w:sz w:val="22"/>
              </w:rPr>
              <w:t>No specific quarterly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$25.390B</w:t>
            </w:r>
          </w:p>
        </w:tc>
        <w:tc>
          <w:tcPr>
            <w:tcW w:type="dxa" w:w="1080"/>
          </w:tcPr>
          <w:p>
            <w:r>
              <w:rPr>
                <w:rFonts w:ascii="Calibri" w:hAnsi="Calibri"/>
                <w:sz w:val="22"/>
              </w:rPr>
              <w:t>$25.326B</w:t>
            </w:r>
          </w:p>
        </w:tc>
        <w:tc>
          <w:tcPr>
            <w:tcW w:type="dxa" w:w="1080"/>
          </w:tcPr>
          <w:p>
            <w:r>
              <w:rPr>
                <w:rFonts w:ascii="Calibri" w:hAnsi="Calibri"/>
                <w:sz w:val="22"/>
              </w:rPr>
              <w:t>-0.3%</w:t>
            </w:r>
          </w:p>
        </w:tc>
        <w:tc>
          <w:tcPr>
            <w:tcW w:type="dxa" w:w="1080"/>
          </w:tcPr>
          <w:p>
            <w:r>
              <w:rPr>
                <w:rFonts w:ascii="Calibri" w:hAnsi="Calibri"/>
                <w:sz w:val="22"/>
              </w:rPr>
              <w:t>No specific FY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 FY 2026</w:t>
            </w:r>
          </w:p>
        </w:tc>
        <w:tc>
          <w:tcPr>
            <w:tcW w:type="dxa" w:w="1080"/>
          </w:tcPr>
          <w:p>
            <w:r>
              <w:rPr>
                <w:rFonts w:ascii="Calibri" w:hAnsi="Calibri"/>
                <w:sz w:val="22"/>
              </w:rPr>
              <w:t>$9.823B</w:t>
            </w:r>
          </w:p>
        </w:tc>
        <w:tc>
          <w:tcPr>
            <w:tcW w:type="dxa" w:w="1080"/>
          </w:tcPr>
          <w:p>
            <w:r>
              <w:rPr>
                <w:rFonts w:ascii="Calibri" w:hAnsi="Calibri"/>
                <w:sz w:val="22"/>
              </w:rPr>
              <w:t>$9.904B</w:t>
            </w:r>
          </w:p>
        </w:tc>
        <w:tc>
          <w:tcPr>
            <w:tcW w:type="dxa" w:w="1080"/>
          </w:tcPr>
          <w:p>
            <w:r>
              <w:rPr>
                <w:rFonts w:ascii="Calibri" w:hAnsi="Calibri"/>
                <w:sz w:val="22"/>
              </w:rPr>
              <w:t>+0.8%</w:t>
            </w:r>
          </w:p>
        </w:tc>
        <w:tc>
          <w:tcPr>
            <w:tcW w:type="dxa" w:w="1080"/>
          </w:tcPr>
          <w:p>
            <w:r>
              <w:rPr>
                <w:rFonts w:ascii="Calibri" w:hAnsi="Calibri"/>
                <w:sz w:val="22"/>
              </w:rPr>
              <w:t>~$10B for FY 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(slightly below $10B target)</w:t>
            </w:r>
          </w:p>
        </w:tc>
      </w:tr>
    </w:tbl>
    <w:p>
      <w:r>
        <w:rPr>
          <w:rFonts w:ascii="Calibri" w:hAnsi="Calibri"/>
          <w:i/>
          <w:color w:val="525866"/>
          <w:sz w:val="22"/>
        </w:rPr>
        <w:t>The Q2 EPS estimate drift of -7.1% since the post-Q1 baseline reflects the market pricing in the PECO distribution earnings gap, but the stability of FY 2026 and FY 2027 estimates signals the Street views this as a timing/mix issue rather than a structural earnings impairment. Consensus tracking guidance midpoint almost exactly is a neutral-to-positive setup.</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EXC has outperformed both XLU and the S&amp;P 500 since the Q1 earnings date (May 6, 2026), rising ~4.5% vs. XLU -1.8% and SPY -0.5%, driven by multiple stabilization and the market’s growing confidence in the transmission growth story—not estimate revisions, which have been modestly negative.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EXC vs. XLU vs. S&amp;P 500 — Indexed to 100 at May 6, 2026 (Q1 2026 Earnings Date). Sector ETF: XLU (Utilities Select Sector SPDR), appropriate for EXC’s regulated electric and gas T&amp;D sub-sector. Source: Stock Price Data.</w:t>
      </w:r>
    </w:p>
    <w:p>
      <w:r>
        <w:rPr>
          <w:rFonts w:ascii="Calibri" w:hAnsi="Calibri"/>
          <w:color w:val="525866"/>
          <w:sz w:val="22"/>
        </w:rPr>
        <w:t>Since the Q1 2026 earnings date (May 6, 2026), EXC has risen approximately +4.5% (from $45.02 to ~$47.03 as of July 30, 2026), while XLU has declined approximately -1.8% and the S&amp;P 500 is essentially flat (-0.5%). The stock initially sold off on earnings day despite the EPS beat, as the market focused on the PECO rate case withdrawal and Pennsylvania regulatory uncertainty, touching a low near $43.38 on May 15. The recovery since mid-May reflects: (1) the market digesting the capital plan rebalancing as a manageable, not structural, setback; (2) growing investor interest in the transmission growth narrative and data center interconnection pipeline; and (3) sector rotation into defensive utilities as macro uncertainty persisted. The outperformance vs. XLU is notable given that EXC carries more regulatory risk than most peers, suggesting the market is assigning incremental value to the large load/transmission opportunity. The stock’s current level (~$47) implies a NTM P/E of approximately 16.5x on $2.85 consensus, roughly in line with the regulated utility peer group average, leaving the valuation neither stretched nor deeply discounted heading into the print.</w:t>
      </w:r>
    </w:p>
    <w:p>
      <w:pPr>
        <w:pStyle w:val="Heading2"/>
      </w:pPr>
      <w:r>
        <w:rPr>
          <w:rFonts w:ascii="Calibri" w:hAnsi="Calibri"/>
          <w:b/>
          <w:color w:val="3B4259"/>
          <w:sz w:val="28"/>
        </w:rPr>
        <w:t>6. Material News &amp; Developments (Since May 6, 2026)</w:t>
      </w:r>
    </w:p>
    <w:p>
      <w:r>
        <w:rPr>
          <w:rFonts w:ascii="Calibri" w:hAnsi="Calibri"/>
          <w:b/>
          <w:color w:val="525866"/>
          <w:sz w:val="22"/>
        </w:rPr>
        <w:t xml:space="preserve">Key Takeaway: </w:t>
      </w:r>
      <w:r>
        <w:rPr>
          <w:rFonts w:ascii="Calibri" w:hAnsi="Calibri"/>
          <w:color w:val="525866"/>
          <w:sz w:val="22"/>
        </w:rPr>
        <w:t>The most important development since Q1 earnings is the formal closure of the PECO rate case dockets (April 30, 2026) and the ongoing absence of a re-filing timeline, which remains the single largest near-term earnings and regulatory overhang for the stock heading into Q2.</w:t>
      </w:r>
    </w:p>
    <w:p>
      <w:pPr>
        <w:pStyle w:val="ListBullet"/>
        <w:ind w:left="360" w:hanging="360"/>
      </w:pPr>
      <w:r>
        <w:rPr>
          <w:rFonts w:ascii="Calibri" w:hAnsi="Calibri"/>
          <w:b/>
          <w:color w:val="525866"/>
          <w:sz w:val="22"/>
        </w:rPr>
        <w:t>April 16 / April 30, 2026 — PECO Rate Case Withdrawal &amp; Docket Closure:</w:t>
      </w:r>
      <w:r>
        <w:rPr>
          <w:rFonts w:ascii="Calibri" w:hAnsi="Calibri"/>
          <w:color w:val="525866"/>
          <w:sz w:val="22"/>
        </w:rPr>
        <w:t xml:space="preserve"> PECO filed to withdraw its $429M electric and $81M gas rate cases following direct pressure from Governor Shapiro; the Pennsylvania PUC formally granted the withdrawal and closed both dockets on April 30. </w:t>
      </w:r>
    </w:p>
    <w:p>
      <w:pPr>
        <w:pStyle w:val="ListBullet"/>
        <w:ind w:left="360" w:hanging="360"/>
      </w:pPr>
      <w:r>
        <w:rPr>
          <w:rFonts w:ascii="Calibri" w:hAnsi="Calibri"/>
          <w:i/>
          <w:color w:val="525866"/>
          <w:sz w:val="22"/>
        </w:rPr>
        <w:t>Implication:</w:t>
      </w:r>
      <w:r>
        <w:rPr>
          <w:rFonts w:ascii="Calibri" w:hAnsi="Calibri"/>
          <w:color w:val="525866"/>
          <w:sz w:val="22"/>
        </w:rPr>
        <w:t xml:space="preserve"> Removes ~$510M of annual revenue recovery from PECO’s near-term plan; PECO is on negative credit outlook/review for downgrade at Moody’s and S&amp;P; no re-filing timeline has been provided, creating ongoing earnings uncertainty for the Pennsylvania subsidiary.</w:t>
      </w:r>
    </w:p>
    <w:p>
      <w:pPr>
        <w:pStyle w:val="ListBullet"/>
        <w:ind w:left="360" w:hanging="360"/>
      </w:pPr>
      <w:r>
        <w:rPr>
          <w:rFonts w:ascii="Calibri" w:hAnsi="Calibri"/>
          <w:b/>
          <w:color w:val="525866"/>
          <w:sz w:val="22"/>
        </w:rPr>
        <w:t>May 6, 2026 — Q1 2026 Earnings &amp; Capital Plan Revision:</w:t>
      </w:r>
      <w:r>
        <w:rPr>
          <w:rFonts w:ascii="Calibri" w:hAnsi="Calibri"/>
          <w:color w:val="525866"/>
          <w:sz w:val="22"/>
        </w:rPr>
        <w:t xml:space="preserve"> EXC reported Q1 adjusted EPS of $0.91 (beat vs. $0.884 consensus); simultaneously announced revised $41.7B four-year capital plan deferring $1.1B of PECO/BGE distribution investment and adding $1.5B of incremental transmission CapEx. </w:t>
      </w:r>
    </w:p>
    <w:p>
      <w:pPr>
        <w:pStyle w:val="ListBullet"/>
        <w:ind w:left="360" w:hanging="360"/>
      </w:pPr>
      <w:r>
        <w:rPr>
          <w:rFonts w:ascii="Calibri" w:hAnsi="Calibri"/>
          <w:i/>
          <w:color w:val="525866"/>
          <w:sz w:val="22"/>
        </w:rPr>
        <w:t>Implication:</w:t>
      </w:r>
      <w:r>
        <w:rPr>
          <w:rFonts w:ascii="Calibri" w:hAnsi="Calibri"/>
          <w:color w:val="525866"/>
          <w:sz w:val="22"/>
        </w:rPr>
        <w:t xml:space="preserve"> Transmission rate base growth accelerated to ~16% through 2029; overall rate base growth maintained at ~7.9%; FY 2026 guidance reaffirmed at $2.81–$2.91.</w:t>
      </w:r>
    </w:p>
    <w:p>
      <w:pPr>
        <w:pStyle w:val="ListBullet"/>
        <w:ind w:left="360" w:hanging="360"/>
      </w:pPr>
      <w:r>
        <w:rPr>
          <w:rFonts w:ascii="Calibri" w:hAnsi="Calibri"/>
          <w:b/>
          <w:color w:val="525866"/>
          <w:sz w:val="22"/>
        </w:rPr>
        <w:t>May 6, 2026 — PECO Leadership Transition:</w:t>
      </w:r>
      <w:r>
        <w:rPr>
          <w:rFonts w:ascii="Calibri" w:hAnsi="Calibri"/>
          <w:color w:val="525866"/>
          <w:sz w:val="22"/>
        </w:rPr>
        <w:t xml:space="preserve"> Prior PECO CEO moved to an advisory role; Exelon COO Michael A. Innocenzo named interim President &amp; CEO of PECO. </w:t>
      </w:r>
    </w:p>
    <w:p>
      <w:pPr>
        <w:pStyle w:val="ListBullet"/>
        <w:ind w:left="360" w:hanging="360"/>
      </w:pPr>
      <w:r>
        <w:rPr>
          <w:rFonts w:ascii="Calibri" w:hAnsi="Calibri"/>
          <w:i/>
          <w:color w:val="525866"/>
          <w:sz w:val="22"/>
        </w:rPr>
        <w:t>Implication:</w:t>
      </w:r>
      <w:r>
        <w:rPr>
          <w:rFonts w:ascii="Calibri" w:hAnsi="Calibri"/>
          <w:color w:val="525866"/>
          <w:sz w:val="22"/>
        </w:rPr>
        <w:t xml:space="preserve"> Signals management is taking the Pennsylvania regulatory situation seriously; Innocenzo’s deep regional relationships may facilitate a more collaborative re-filing process.</w:t>
      </w:r>
    </w:p>
    <w:p>
      <w:pPr>
        <w:pStyle w:val="ListBullet"/>
        <w:ind w:left="360" w:hanging="360"/>
      </w:pPr>
      <w:r>
        <w:rPr>
          <w:rFonts w:ascii="Calibri" w:hAnsi="Calibri"/>
          <w:b/>
          <w:color w:val="525866"/>
          <w:sz w:val="22"/>
        </w:rPr>
        <w:t>May 6, 2026 — O&amp;M Savings Target Announced:</w:t>
      </w:r>
      <w:r>
        <w:rPr>
          <w:rFonts w:ascii="Calibri" w:hAnsi="Calibri"/>
          <w:color w:val="525866"/>
          <w:sz w:val="22"/>
        </w:rPr>
        <w:t xml:space="preserve"> Management announced $350M of incremental O&amp;M savings in 2027 and a cap of ≤2% annual O&amp;M growth through 2029, to be achieved via AI/technology transformation, contractor rationalization, managed hiring, and a voluntary separation program. </w:t>
      </w:r>
    </w:p>
    <w:p>
      <w:pPr>
        <w:pStyle w:val="ListBullet"/>
        <w:ind w:left="360" w:hanging="360"/>
      </w:pPr>
      <w:r>
        <w:rPr>
          <w:rFonts w:ascii="Calibri" w:hAnsi="Calibri"/>
          <w:i/>
          <w:color w:val="525866"/>
          <w:sz w:val="22"/>
        </w:rPr>
        <w:t>Implication:</w:t>
      </w:r>
      <w:r>
        <w:rPr>
          <w:rFonts w:ascii="Calibri" w:hAnsi="Calibri"/>
          <w:color w:val="525866"/>
          <w:sz w:val="22"/>
        </w:rPr>
        <w:t xml:space="preserve"> Partially offsets the PECO earnings headwind; management characterized most savings as sustainable, which is a positive for long-term credit metrics.</w:t>
      </w:r>
    </w:p>
    <w:p>
      <w:pPr>
        <w:pStyle w:val="ListBullet"/>
        <w:ind w:left="360" w:hanging="360"/>
      </w:pPr>
      <w:r>
        <w:rPr>
          <w:rFonts w:ascii="Calibri" w:hAnsi="Calibri"/>
          <w:b/>
          <w:color w:val="525866"/>
          <w:sz w:val="22"/>
        </w:rPr>
        <w:t>May 2026 — Maryland Utility RELIEF Act Passed Legislature:</w:t>
      </w:r>
      <w:r>
        <w:rPr>
          <w:rFonts w:ascii="Calibri" w:hAnsi="Calibri"/>
          <w:color w:val="525866"/>
          <w:sz w:val="22"/>
        </w:rPr>
        <w:t xml:space="preserve"> The Utility RELIEF Act passed the Maryland legislature and was awaiting Governor Moore’s signature as of the Q1 call. </w:t>
      </w:r>
    </w:p>
    <w:p>
      <w:pPr>
        <w:pStyle w:val="ListBullet"/>
        <w:ind w:left="360" w:hanging="360"/>
      </w:pPr>
      <w:r>
        <w:rPr>
          <w:rFonts w:ascii="Calibri" w:hAnsi="Calibri"/>
          <w:i/>
          <w:color w:val="525866"/>
          <w:sz w:val="22"/>
        </w:rPr>
        <w:t>Implication:</w:t>
      </w:r>
      <w:r>
        <w:rPr>
          <w:rFonts w:ascii="Calibri" w:hAnsi="Calibri"/>
          <w:color w:val="525866"/>
          <w:sz w:val="22"/>
        </w:rPr>
        <w:t xml:space="preserve"> Provides near-term regulatory relief in Maryland but does not address the underlying generation supply shortage; management flagged this as insufficient to resolve the resource adequacy issue.</w:t>
      </w:r>
    </w:p>
    <w:p>
      <w:pPr>
        <w:pStyle w:val="ListBullet"/>
        <w:ind w:left="360" w:hanging="360"/>
      </w:pPr>
      <w:r>
        <w:rPr>
          <w:rFonts w:ascii="Calibri" w:hAnsi="Calibri"/>
          <w:b/>
          <w:color w:val="525866"/>
          <w:sz w:val="22"/>
        </w:rPr>
        <w:t>February 2026 — MISO Tranche 2.1 Competitive Transmission Bids:</w:t>
      </w:r>
      <w:r>
        <w:rPr>
          <w:rFonts w:ascii="Calibri" w:hAnsi="Calibri"/>
          <w:color w:val="525866"/>
          <w:sz w:val="22"/>
        </w:rPr>
        <w:t xml:space="preserve"> EXC submitted competitive bids for two Illinois transmission opportunities (~$1.9B total CapEx) jointly with Invenergy; two additional PJM bids were expected in May 2026. </w:t>
      </w:r>
    </w:p>
    <w:p>
      <w:pPr>
        <w:pStyle w:val="ListBullet"/>
        <w:ind w:left="360" w:hanging="360"/>
      </w:pPr>
      <w:r>
        <w:rPr>
          <w:rFonts w:ascii="Calibri" w:hAnsi="Calibri"/>
          <w:i/>
          <w:color w:val="525866"/>
          <w:sz w:val="22"/>
        </w:rPr>
        <w:t>Implication:</w:t>
      </w:r>
      <w:r>
        <w:rPr>
          <w:rFonts w:ascii="Calibri" w:hAnsi="Calibri"/>
          <w:color w:val="525866"/>
          <w:sz w:val="22"/>
        </w:rPr>
        <w:t xml:space="preserve"> Incremental upside to the $12–$17B transmission opportunity pipeline outside the current plan period; awards expected in 2026–2027.</w:t>
      </w:r>
    </w:p>
    <w:p>
      <w:pPr>
        <w:pStyle w:val="ListBullet"/>
        <w:ind w:left="360" w:hanging="360"/>
      </w:pPr>
      <w:r>
        <w:rPr>
          <w:rFonts w:ascii="Calibri" w:hAnsi="Calibri"/>
          <w:b/>
          <w:color w:val="525866"/>
          <w:sz w:val="22"/>
        </w:rPr>
        <w:t>May 15, 2026 — TD Cowen PT Cut:</w:t>
      </w:r>
      <w:r>
        <w:rPr>
          <w:rFonts w:ascii="Calibri" w:hAnsi="Calibri"/>
          <w:color w:val="525866"/>
          <w:sz w:val="22"/>
        </w:rPr>
        <w:t xml:space="preserve"> TD Cowen lowered its price target on EXC from $51 to $49 (Hold maintained), citing PECO regulatory uncertainty and higher interest expense headwinds.</w:t>
      </w:r>
    </w:p>
    <w:p>
      <w:pPr>
        <w:pStyle w:val="ListBullet"/>
        <w:ind w:left="360" w:hanging="360"/>
      </w:pPr>
      <w:r>
        <w:rPr>
          <w:rFonts w:ascii="Calibri" w:hAnsi="Calibri"/>
          <w:b/>
          <w:color w:val="525866"/>
          <w:sz w:val="22"/>
        </w:rPr>
        <w:t>April 21, 2026 — Morgan Stanley PT Cut:</w:t>
      </w:r>
      <w:r>
        <w:rPr>
          <w:rFonts w:ascii="Calibri" w:hAnsi="Calibri"/>
          <w:color w:val="525866"/>
          <w:sz w:val="22"/>
        </w:rPr>
        <w:t xml:space="preserve"> Morgan Stanley reduced its price target from $56 to $55 (Equal-Weight maintained).</w:t>
      </w:r>
    </w:p>
    <w:p>
      <w:pPr>
        <w:pStyle w:val="ListBullet"/>
        <w:ind w:left="360" w:hanging="360"/>
      </w:pPr>
      <w:r>
        <w:rPr>
          <w:rFonts w:ascii="Calibri" w:hAnsi="Calibri"/>
          <w:b/>
          <w:color w:val="525866"/>
          <w:sz w:val="22"/>
        </w:rPr>
        <w:t>July 16, 2026 — Truist PT Raise:</w:t>
      </w:r>
      <w:r>
        <w:rPr>
          <w:rFonts w:ascii="Calibri" w:hAnsi="Calibri"/>
          <w:color w:val="525866"/>
          <w:sz w:val="22"/>
        </w:rPr>
        <w:t xml:space="preserve"> Truist Securities raised its price target from $49 to $50 (Hold maintained), reflecting improved confidence in the transmission growth story. </w:t>
      </w:r>
    </w:p>
    <w:p>
      <w:pPr>
        <w:pStyle w:val="ListBullet"/>
        <w:ind w:left="360" w:hanging="360"/>
      </w:pPr>
      <w:r>
        <w:rPr>
          <w:rFonts w:ascii="Calibri" w:hAnsi="Calibri"/>
          <w:i/>
          <w:color w:val="525866"/>
          <w:sz w:val="22"/>
        </w:rPr>
        <w:t>Implication:</w:t>
      </w:r>
      <w:r>
        <w:rPr>
          <w:rFonts w:ascii="Calibri" w:hAnsi="Calibri"/>
          <w:color w:val="525866"/>
          <w:sz w:val="22"/>
        </w:rPr>
        <w:t xml:space="preserve"> Analyst sentiment remains cautious (consensus Hold, avg. PT ~$50), with the PECO overhang preventing more constructive upgrades despite the improving transmission narrative.</w:t>
      </w:r>
    </w:p>
    <w:p>
      <w:pPr>
        <w:pStyle w:val="ListBullet"/>
        <w:ind w:left="360" w:hanging="360"/>
      </w:pPr>
      <w:r>
        <w:rPr>
          <w:rFonts w:ascii="Calibri" w:hAnsi="Calibri"/>
          <w:b/>
          <w:color w:val="525866"/>
          <w:sz w:val="22"/>
        </w:rPr>
        <w:t>KeyBanc Underweight / PT Cut to $41:</w:t>
      </w:r>
      <w:r>
        <w:rPr>
          <w:rFonts w:ascii="Calibri" w:hAnsi="Calibri"/>
          <w:color w:val="525866"/>
          <w:sz w:val="22"/>
        </w:rPr>
        <w:t xml:space="preserve"> KeyBanc analyst Sophie Karp maintained Underweight and cut the PT from $43 to $41, the most bearish call on the Street, citing PECO earnings risk and Pennsylvania regulatory uncertainty as structural headwinds.</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Peer commentary from NEE, FE, ETR, and PPL (all reporting Q2 2026 or providing current-quarter/forward-looking commentary) is broadly constructive for EXC’s Q2 print and forward narrative: data center demand is accelerating across all service territories, transmission investment pipelines are expanding, and peers are reaffirming full-year guidance—all positive read-throughs for EXC’s large load and transmission growth story.</w:t>
      </w:r>
    </w:p>
    <w:p>
      <w:r>
        <w:rPr>
          <w:rFonts w:ascii="Calibri" w:hAnsi="Calibri"/>
          <w:i/>
          <w:color w:val="525866"/>
          <w:sz w:val="22"/>
        </w:rPr>
        <w:t>Note: Only commentary about Q2 2026 current conditions, forward-looking statements, or post-Q1 2026 developments is included below. Prior-year results commentary has been excluded.</w:t>
      </w:r>
    </w:p>
    <w:p>
      <w:pPr>
        <w:pStyle w:val="Heading3"/>
      </w:pPr>
      <w:r>
        <w:rPr>
          <w:rFonts w:ascii="Calibri" w:hAnsi="Calibri"/>
          <w:b/>
          <w:color w:val="3B4259"/>
          <w:sz w:val="24"/>
        </w:rPr>
        <w:t>NextEra Energy (NEE) — Q2 2026 Earnings (July 24, 2026)</w:t>
      </w:r>
    </w:p>
    <w:p>
      <w:r>
        <w:rPr>
          <w:rFonts w:ascii="Calibri" w:hAnsi="Calibri"/>
          <w:b/>
          <w:color w:val="525866"/>
          <w:sz w:val="22"/>
          <w:u w:val="single"/>
        </w:rPr>
        <w:t>Read-Through Theme: Data Center Demand Acceleration &amp; Large Load Tariff Frameworks</w:t>
      </w:r>
    </w:p>
    <w:p>
      <w:pPr>
        <w:pStyle w:val="ListBullet"/>
        <w:ind w:left="360" w:hanging="360"/>
      </w:pPr>
      <w:r>
        <w:rPr>
          <w:rFonts w:ascii="Calibri" w:hAnsi="Calibri"/>
          <w:color w:val="525866"/>
          <w:sz w:val="22"/>
        </w:rPr>
        <w:t xml:space="preserve">NEE updated its FPL large load expectations from 6 GW to 8 GW by 2032 in May 2026, with 21 GW of total large load interest at FPL and 12 GW in advanced discussions. </w:t>
      </w:r>
      <w:r>
        <w:rPr>
          <w:rFonts w:ascii="Calibri" w:hAnsi="Calibri"/>
          <w:b/>
          <w:color w:val="525866"/>
          <w:sz w:val="22"/>
        </w:rPr>
        <w:t>Read-through for EXC:</w:t>
      </w:r>
      <w:r>
        <w:rPr>
          <w:rFonts w:ascii="Calibri" w:hAnsi="Calibri"/>
          <w:color w:val="525866"/>
          <w:sz w:val="22"/>
        </w:rPr>
        <w:t xml:space="preserve"> Validates the scale and urgency of data center demand across utility service territories; EXC’s own large load pipeline and TSA-backed interconnection process is well-positioned to capture similar demand in its Mid-Atlantic/Midwest footprint.</w:t>
      </w:r>
    </w:p>
    <w:p>
      <w:pPr>
        <w:pStyle w:val="ListBullet"/>
        <w:ind w:left="360" w:hanging="360"/>
      </w:pPr>
      <w:r>
        <w:rPr>
          <w:rFonts w:ascii="Calibri" w:hAnsi="Calibri"/>
          <w:color w:val="525866"/>
          <w:sz w:val="22"/>
        </w:rPr>
        <w:t xml:space="preserve">NEE noted that FERC’s Section 206 show cause orders announced in June 2026 “will create a market shift and generate strong demand for matching load with generation.” </w:t>
      </w:r>
      <w:r>
        <w:rPr>
          <w:rFonts w:ascii="Calibri" w:hAnsi="Calibri"/>
          <w:b/>
          <w:color w:val="525866"/>
          <w:sz w:val="22"/>
        </w:rPr>
        <w:t>Read-through for EXC:</w:t>
      </w:r>
      <w:r>
        <w:rPr>
          <w:rFonts w:ascii="Calibri" w:hAnsi="Calibri"/>
          <w:color w:val="525866"/>
          <w:sz w:val="22"/>
        </w:rPr>
        <w:t xml:space="preserve"> Positive for EXC’s advocacy for utility-owned backstop generation and its resource adequacy messaging; FERC action could accelerate the regulatory framework EXC has been pushing for in PJM.</w:t>
      </w:r>
    </w:p>
    <w:p>
      <w:pPr>
        <w:pStyle w:val="ListBullet"/>
        <w:ind w:left="360" w:hanging="360"/>
      </w:pPr>
      <w:r>
        <w:rPr>
          <w:rFonts w:ascii="Calibri" w:hAnsi="Calibri"/>
          <w:color w:val="525866"/>
          <w:sz w:val="22"/>
        </w:rPr>
        <w:t xml:space="preserve">NEE’s Energy Resources added 3.6 GW of renewables and storage to its backlog in Q2 2026 (second-largest quarter ever), with recontracting priced at a ~$20/MWh premium to recent realized pricing. </w:t>
      </w:r>
      <w:r>
        <w:rPr>
          <w:rFonts w:ascii="Calibri" w:hAnsi="Calibri"/>
          <w:b/>
          <w:color w:val="525866"/>
          <w:sz w:val="22"/>
        </w:rPr>
        <w:t>Read-through for EXC:</w:t>
      </w:r>
      <w:r>
        <w:rPr>
          <w:rFonts w:ascii="Calibri" w:hAnsi="Calibri"/>
          <w:color w:val="525866"/>
          <w:sz w:val="22"/>
        </w:rPr>
        <w:t xml:space="preserve"> Confirms the strong electricity demand environment; higher power prices support the economic case for utility-owned generation that EXC has been advocating.</w:t>
      </w:r>
    </w:p>
    <w:p>
      <w:pPr>
        <w:pStyle w:val="ListBullet"/>
        <w:ind w:left="360" w:hanging="360"/>
      </w:pPr>
      <w:r>
        <w:rPr>
          <w:rFonts w:ascii="Calibri" w:hAnsi="Calibri"/>
          <w:color w:val="525866"/>
          <w:sz w:val="22"/>
        </w:rPr>
        <w:t xml:space="preserve">NEE’s FPL Q2 2026 retail sales grew +0.6% weather-normalized YoY, driven by population growth. </w:t>
      </w:r>
      <w:r>
        <w:rPr>
          <w:rFonts w:ascii="Calibri" w:hAnsi="Calibri"/>
          <w:b/>
          <w:color w:val="525866"/>
          <w:sz w:val="22"/>
        </w:rPr>
        <w:t>Read-through for EXC:</w:t>
      </w:r>
      <w:r>
        <w:rPr>
          <w:rFonts w:ascii="Calibri" w:hAnsi="Calibri"/>
          <w:color w:val="525866"/>
          <w:sz w:val="22"/>
        </w:rPr>
        <w:t xml:space="preserve"> Modest but positive; EXC’s Q2 load growth will be driven more by industrial/data center ramp than residential, but the broader demand environment is supportive.</w:t>
      </w:r>
    </w:p>
    <w:p>
      <w:pPr>
        <w:pStyle w:val="ListBullet"/>
        <w:ind w:left="360" w:hanging="360"/>
      </w:pPr>
      <w:r>
        <w:rPr>
          <w:rFonts w:ascii="Calibri" w:hAnsi="Calibri"/>
          <w:color w:val="525866"/>
          <w:sz w:val="22"/>
        </w:rPr>
        <w:t xml:space="preserve">NEE reaffirmed its 2026 adjusted EPS guidance of $3.92–$4.02, targeting the high end. </w:t>
      </w:r>
      <w:r>
        <w:rPr>
          <w:rFonts w:ascii="Calibri" w:hAnsi="Calibri"/>
          <w:b/>
          <w:color w:val="525866"/>
          <w:sz w:val="22"/>
        </w:rPr>
        <w:t>Read-through for EXC:</w:t>
      </w:r>
      <w:r>
        <w:rPr>
          <w:rFonts w:ascii="Calibri" w:hAnsi="Calibri"/>
          <w:color w:val="525866"/>
          <w:sz w:val="22"/>
        </w:rPr>
        <w:t xml:space="preserve"> Peer guidance reaffirmation is a positive signal for sector-wide earnings visibility; reduces the risk of a sector-level guidance cut that could drag EXC.</w:t>
      </w:r>
    </w:p>
    <w:p>
      <w:pPr>
        <w:pStyle w:val="Heading3"/>
      </w:pPr>
      <w:r>
        <w:rPr>
          <w:rFonts w:ascii="Calibri" w:hAnsi="Calibri"/>
          <w:b/>
          <w:color w:val="3B4259"/>
          <w:sz w:val="24"/>
        </w:rPr>
        <w:t>PG&amp;E Corporation (PCG) — Q2 2026 Earnings (July 23, 2026)</w:t>
      </w:r>
    </w:p>
    <w:p>
      <w:r>
        <w:rPr>
          <w:rFonts w:ascii="Calibri" w:hAnsi="Calibri"/>
          <w:b/>
          <w:color w:val="525866"/>
          <w:sz w:val="22"/>
          <w:u w:val="single"/>
        </w:rPr>
        <w:t>Read-Through Theme: Data Center Pipeline Quality &amp; Affordability-Driven Regulatory Posture</w:t>
      </w:r>
    </w:p>
    <w:p>
      <w:pPr>
        <w:pStyle w:val="ListBullet"/>
        <w:ind w:left="360" w:hanging="360"/>
      </w:pPr>
      <w:r>
        <w:rPr>
          <w:rFonts w:ascii="Calibri" w:hAnsi="Calibri"/>
          <w:color w:val="525866"/>
          <w:sz w:val="22"/>
        </w:rPr>
        <w:t xml:space="preserve">PCG’s data center pipeline grew to over 12 GW in Q2 2026 (from 10 GW pre-application interest last quarter), with ~1.8 GW expected online by 2030. PCG raised the threshold for pipeline inclusion, requiring a work performance agreement and ~10% financial commitment. </w:t>
      </w:r>
      <w:r>
        <w:rPr>
          <w:rFonts w:ascii="Calibri" w:hAnsi="Calibri"/>
          <w:b/>
          <w:color w:val="525866"/>
          <w:sz w:val="22"/>
        </w:rPr>
        <w:t>Read-through for EXC:</w:t>
      </w:r>
      <w:r>
        <w:rPr>
          <w:rFonts w:ascii="Calibri" w:hAnsi="Calibri"/>
          <w:color w:val="525866"/>
          <w:sz w:val="22"/>
        </w:rPr>
        <w:t xml:space="preserve"> EXC’s own TSA-backed pipeline approach (requiring ~$1B of collateral secured) mirrors PCG’s quality-over-quantity filtering; both companies are managing speculative project risk similarly, which is a positive signal for EXC’s pipeline credibility.</w:t>
      </w:r>
    </w:p>
    <w:p>
      <w:pPr>
        <w:pStyle w:val="ListBullet"/>
        <w:ind w:left="360" w:hanging="360"/>
      </w:pPr>
      <w:r>
        <w:rPr>
          <w:rFonts w:ascii="Calibri" w:hAnsi="Calibri"/>
          <w:color w:val="525866"/>
          <w:sz w:val="22"/>
        </w:rPr>
        <w:t xml:space="preserve">PCG reaffirmed its full-year 2026 core EPS guidance of $1.64–$1.66 (midpoint +10% vs. 2025), with H1 2026 core EPS of $0.83 (+$0.19 YoY). </w:t>
      </w:r>
      <w:r>
        <w:rPr>
          <w:rFonts w:ascii="Calibri" w:hAnsi="Calibri"/>
          <w:b/>
          <w:color w:val="525866"/>
          <w:sz w:val="22"/>
        </w:rPr>
        <w:t>Read-through for EXC:</w:t>
      </w:r>
      <w:r>
        <w:rPr>
          <w:rFonts w:ascii="Calibri" w:hAnsi="Calibri"/>
          <w:color w:val="525866"/>
          <w:sz w:val="22"/>
        </w:rPr>
        <w:t xml:space="preserve"> Another peer reaffirmation; PCG’s double-digit EPS growth trajectory contrasts with EXC’s more modest ~3% FY 2026 growth, but both are on track, reducing sector-level guidance risk.</w:t>
      </w:r>
    </w:p>
    <w:p>
      <w:pPr>
        <w:pStyle w:val="ListBullet"/>
        <w:ind w:left="360" w:hanging="360"/>
      </w:pPr>
      <w:r>
        <w:rPr>
          <w:rFonts w:ascii="Calibri" w:hAnsi="Calibri"/>
          <w:color w:val="525866"/>
          <w:sz w:val="22"/>
        </w:rPr>
        <w:t xml:space="preserve">PCG noted that FERC’s Section 206 show cause order is “a positive step” and is collaborating with CAISO to respond. PCG is also engaging on Rule 30 and advanced rate design for large load customers. </w:t>
      </w:r>
      <w:r>
        <w:rPr>
          <w:rFonts w:ascii="Calibri" w:hAnsi="Calibri"/>
          <w:b/>
          <w:color w:val="525866"/>
          <w:sz w:val="22"/>
        </w:rPr>
        <w:t>Read-through for EXC:</w:t>
      </w:r>
      <w:r>
        <w:rPr>
          <w:rFonts w:ascii="Calibri" w:hAnsi="Calibri"/>
          <w:color w:val="525866"/>
          <w:sz w:val="22"/>
        </w:rPr>
        <w:t xml:space="preserve"> Regulatory frameworks for large load cost allocation are evolving nationally; EXC’s PJM-based TSA structure is ahead of many peers in formalizing these protections.</w:t>
      </w:r>
    </w:p>
    <w:p>
      <w:pPr>
        <w:pStyle w:val="ListBullet"/>
        <w:ind w:left="360" w:hanging="360"/>
      </w:pPr>
      <w:r>
        <w:rPr>
          <w:rFonts w:ascii="Calibri" w:hAnsi="Calibri"/>
          <w:color w:val="525866"/>
          <w:sz w:val="22"/>
        </w:rPr>
        <w:t xml:space="preserve">PCG is on track to deliver 2–4% annual reductions in non-fuel O&amp;M, with $40M+ saved already in 2026 through sourcing/procurement initiatives. </w:t>
      </w:r>
      <w:r>
        <w:rPr>
          <w:rFonts w:ascii="Calibri" w:hAnsi="Calibri"/>
          <w:b/>
          <w:color w:val="525866"/>
          <w:sz w:val="22"/>
        </w:rPr>
        <w:t>Read-through for EXC:</w:t>
      </w:r>
      <w:r>
        <w:rPr>
          <w:rFonts w:ascii="Calibri" w:hAnsi="Calibri"/>
          <w:color w:val="525866"/>
          <w:sz w:val="22"/>
        </w:rPr>
        <w:t xml:space="preserve"> Validates EXC’s own O&amp;M discipline target (≤2% growth through 2029); sector-wide cost management is becoming a competitive differentiator in the affordability-focused regulatory environment.</w:t>
      </w:r>
    </w:p>
    <w:p>
      <w:pPr>
        <w:pStyle w:val="ListBullet"/>
        <w:ind w:left="360" w:hanging="360"/>
      </w:pPr>
      <w:r>
        <w:rPr>
          <w:rFonts w:ascii="Calibri" w:hAnsi="Calibri"/>
          <w:color w:val="525866"/>
          <w:sz w:val="22"/>
        </w:rPr>
        <w:t xml:space="preserve">PCG’s five-year $73B capital plan is unchanged, with $20B of FERC-regulated transmission investment. </w:t>
      </w:r>
      <w:r>
        <w:rPr>
          <w:rFonts w:ascii="Calibri" w:hAnsi="Calibri"/>
          <w:b/>
          <w:color w:val="525866"/>
          <w:sz w:val="22"/>
        </w:rPr>
        <w:t>Read-through for EXC:</w:t>
      </w:r>
      <w:r>
        <w:rPr>
          <w:rFonts w:ascii="Calibri" w:hAnsi="Calibri"/>
          <w:color w:val="525866"/>
          <w:sz w:val="22"/>
        </w:rPr>
        <w:t xml:space="preserve"> Large-scale transmission investment is being validated across the sector; EXC’s accelerated transmission rate base growth (~16% through 2029) is consistent with the industry direction.</w:t>
      </w:r>
    </w:p>
    <w:p>
      <w:pPr>
        <w:pStyle w:val="Heading3"/>
      </w:pPr>
      <w:r>
        <w:rPr>
          <w:rFonts w:ascii="Calibri" w:hAnsi="Calibri"/>
          <w:b/>
          <w:color w:val="3B4259"/>
          <w:sz w:val="24"/>
        </w:rPr>
        <w:t>FirstEnergy Corp. (FE) — Q2 2026 Earnings (July 29, 2026)</w:t>
      </w:r>
    </w:p>
    <w:p>
      <w:r>
        <w:rPr>
          <w:rFonts w:ascii="Calibri" w:hAnsi="Calibri"/>
          <w:b/>
          <w:color w:val="525866"/>
          <w:sz w:val="22"/>
          <w:u w:val="single"/>
        </w:rPr>
        <w:t>Read-Through Theme: Data Center Demand Surge in PJM Territory &amp; Transmission Investment Acceleration</w:t>
      </w:r>
    </w:p>
    <w:p>
      <w:pPr>
        <w:pStyle w:val="ListBullet"/>
        <w:ind w:left="360" w:hanging="360"/>
      </w:pPr>
      <w:r>
        <w:rPr>
          <w:rFonts w:ascii="Calibri" w:hAnsi="Calibri"/>
          <w:color w:val="525866"/>
          <w:sz w:val="22"/>
        </w:rPr>
        <w:t xml:space="preserve">FE’s total forecasted data center demand increased 30% since Q1 2026 to approximately 25 GW, with 6.4 GW contracted in Q2 alone (+2.1 GW in the quarter) and an additional 1.5 GW expected to enter contracts imminently. </w:t>
      </w:r>
      <w:r>
        <w:rPr>
          <w:rFonts w:ascii="Calibri" w:hAnsi="Calibri"/>
          <w:b/>
          <w:color w:val="525866"/>
          <w:sz w:val="22"/>
        </w:rPr>
        <w:t>Read-through for EXC:</w:t>
      </w:r>
      <w:r>
        <w:rPr>
          <w:rFonts w:ascii="Calibri" w:hAnsi="Calibri"/>
          <w:color w:val="525866"/>
          <w:sz w:val="22"/>
        </w:rPr>
        <w:t xml:space="preserve"> Extremely bullish read-through for EXC’s PJM-adjacent large load pipeline; the urgency FE describes (“sense of urgency on both data center developers and utilities to get contracted quickly”) validates EXC’s TSA-backed approach and suggests EXC’s pipeline could see similar acceleration.</w:t>
      </w:r>
    </w:p>
    <w:p>
      <w:pPr>
        <w:pStyle w:val="ListBullet"/>
        <w:ind w:left="360" w:hanging="360"/>
      </w:pPr>
      <w:r>
        <w:rPr>
          <w:rFonts w:ascii="Calibri" w:hAnsi="Calibri"/>
          <w:color w:val="525866"/>
          <w:sz w:val="22"/>
        </w:rPr>
        <w:t xml:space="preserve">FE noted that contracted and pipeline demand now represents ~70% of its July system peak load of 34.8 GW. Each GW of capacity added requires ~$250M of investment. </w:t>
      </w:r>
      <w:r>
        <w:rPr>
          <w:rFonts w:ascii="Calibri" w:hAnsi="Calibri"/>
          <w:b/>
          <w:color w:val="525866"/>
          <w:sz w:val="22"/>
        </w:rPr>
        <w:t>Read-through for EXC:</w:t>
      </w:r>
      <w:r>
        <w:rPr>
          <w:rFonts w:ascii="Calibri" w:hAnsi="Calibri"/>
          <w:color w:val="525866"/>
          <w:sz w:val="22"/>
        </w:rPr>
        <w:t xml:space="preserve"> Quantifies the capital intensity of data center interconnection; EXC’s $1.5B incremental transmission investment is consistent with serving several GW of new load, and the investment-per-GW metric supports EXC’s CapEx plan credibility.</w:t>
      </w:r>
    </w:p>
    <w:p>
      <w:pPr>
        <w:pStyle w:val="ListBullet"/>
        <w:ind w:left="360" w:hanging="360"/>
      </w:pPr>
      <w:r>
        <w:rPr>
          <w:rFonts w:ascii="Calibri" w:hAnsi="Calibri"/>
          <w:color w:val="525866"/>
          <w:sz w:val="22"/>
        </w:rPr>
        <w:t xml:space="preserve">FE’s transmission business is growing at a 16% CAGR through 2030 and FE plans to participate in the 2026 PJM Open Window process (opened last week, awards expected Q1 2027). </w:t>
      </w:r>
      <w:r>
        <w:rPr>
          <w:rFonts w:ascii="Calibri" w:hAnsi="Calibri"/>
          <w:b/>
          <w:color w:val="525866"/>
          <w:sz w:val="22"/>
        </w:rPr>
        <w:t>Read-through for EXC:</w:t>
      </w:r>
      <w:r>
        <w:rPr>
          <w:rFonts w:ascii="Calibri" w:hAnsi="Calibri"/>
          <w:color w:val="525866"/>
          <w:sz w:val="22"/>
        </w:rPr>
        <w:t xml:space="preserve"> EXC is also competing in PJM transmission windows; FE’s 16% transmission CAGR mirrors EXC’s own 16% transmission rate base growth target, validating the sector-wide transmission investment thesis.</w:t>
      </w:r>
    </w:p>
    <w:p>
      <w:pPr>
        <w:pStyle w:val="ListBullet"/>
        <w:ind w:left="360" w:hanging="360"/>
      </w:pPr>
      <w:r>
        <w:rPr>
          <w:rFonts w:ascii="Calibri" w:hAnsi="Calibri"/>
          <w:color w:val="525866"/>
          <w:sz w:val="22"/>
        </w:rPr>
        <w:t xml:space="preserve">FE’s total customer load increased ~2% in Q2 2026 on a weather-adjusted basis, with industrial load up over 4%, driven by metals, oil &amp; gas, chemicals, and AI/data center infrastructure build-outs. </w:t>
      </w:r>
      <w:r>
        <w:rPr>
          <w:rFonts w:ascii="Calibri" w:hAnsi="Calibri"/>
          <w:b/>
          <w:color w:val="525866"/>
          <w:sz w:val="22"/>
        </w:rPr>
        <w:t>Read-through for EXC:</w:t>
      </w:r>
      <w:r>
        <w:rPr>
          <w:rFonts w:ascii="Calibri" w:hAnsi="Calibri"/>
          <w:color w:val="525866"/>
          <w:sz w:val="22"/>
        </w:rPr>
        <w:t xml:space="preserve"> Strong industrial load growth in PJM territory is a direct positive read-through for EXC’s Q2 load volumes, particularly at ComEd (Illinois) and PHI (Mid-Atlantic).</w:t>
      </w:r>
    </w:p>
    <w:p>
      <w:pPr>
        <w:pStyle w:val="ListBullet"/>
        <w:ind w:left="360" w:hanging="360"/>
      </w:pPr>
      <w:r>
        <w:rPr>
          <w:rFonts w:ascii="Calibri" w:hAnsi="Calibri"/>
          <w:color w:val="525866"/>
          <w:sz w:val="22"/>
        </w:rPr>
        <w:t xml:space="preserve">FE reaffirmed its 2026 core EPS guidance of $2.62–$2.82 and its $36B five-year capital plan, with upside from the 1.2 GW Maysville Energy Center (West Virginia) and additional transmission wins. </w:t>
      </w:r>
      <w:r>
        <w:rPr>
          <w:rFonts w:ascii="Calibri" w:hAnsi="Calibri"/>
          <w:b/>
          <w:color w:val="525866"/>
          <w:sz w:val="22"/>
        </w:rPr>
        <w:t>Read-through for EXC:</w:t>
      </w:r>
      <w:r>
        <w:rPr>
          <w:rFonts w:ascii="Calibri" w:hAnsi="Calibri"/>
          <w:color w:val="525866"/>
          <w:sz w:val="22"/>
        </w:rPr>
        <w:t xml:space="preserve"> Peer guidance reaffirmation in PJM territory is the most direct positive read-through for EXC’s own FY 2026 guidance reaffirmation.</w:t>
      </w:r>
    </w:p>
    <w:p>
      <w:pPr>
        <w:pStyle w:val="ListBullet"/>
        <w:ind w:left="360" w:hanging="360"/>
      </w:pPr>
      <w:r>
        <w:rPr>
          <w:rFonts w:ascii="Calibri" w:hAnsi="Calibri"/>
          <w:color w:val="525866"/>
          <w:sz w:val="22"/>
        </w:rPr>
        <w:t xml:space="preserve">FE’s Ohio regulatory framework (three-year forward-looking test year with annual true-ups) is described as “constructive”; New Jersey rate case filing planned for Q3 2026. </w:t>
      </w:r>
      <w:r>
        <w:rPr>
          <w:rFonts w:ascii="Calibri" w:hAnsi="Calibri"/>
          <w:b/>
          <w:color w:val="525866"/>
          <w:sz w:val="22"/>
        </w:rPr>
        <w:t>Read-through for EXC:</w:t>
      </w:r>
      <w:r>
        <w:rPr>
          <w:rFonts w:ascii="Calibri" w:hAnsi="Calibri"/>
          <w:color w:val="525866"/>
          <w:sz w:val="22"/>
        </w:rPr>
        <w:t xml:space="preserve"> Constructive regulatory outcomes in adjacent PJM jurisdictions are a mild positive for EXC’s own regulatory posture, though Pennsylvania remains an outlier given the PECO withdrawal.</w:t>
      </w:r>
    </w:p>
    <w:p>
      <w:pPr>
        <w:pStyle w:val="Heading3"/>
      </w:pPr>
      <w:r>
        <w:rPr>
          <w:rFonts w:ascii="Calibri" w:hAnsi="Calibri"/>
          <w:b/>
          <w:color w:val="3B4259"/>
          <w:sz w:val="24"/>
        </w:rPr>
        <w:t>Entergy Corporation (ETR) — Q2 2026 Earnings (July 29, 2026) &amp; Investor Day (June 9, 2026)</w:t>
      </w:r>
    </w:p>
    <w:p>
      <w:r>
        <w:rPr>
          <w:rFonts w:ascii="Calibri" w:hAnsi="Calibri"/>
          <w:b/>
          <w:color w:val="525866"/>
          <w:sz w:val="22"/>
          <w:u w:val="single"/>
        </w:rPr>
        <w:t>Read-Through Theme: Large Load Demand Validation &amp; Transmission Build-Out at Scale</w:t>
      </w:r>
    </w:p>
    <w:p>
      <w:pPr>
        <w:pStyle w:val="ListBullet"/>
        <w:ind w:left="360" w:hanging="360"/>
      </w:pPr>
      <w:r>
        <w:rPr>
          <w:rFonts w:ascii="Calibri" w:hAnsi="Calibri"/>
          <w:color w:val="525866"/>
          <w:sz w:val="22"/>
        </w:rPr>
        <w:t xml:space="preserve">ETR’s Q2 2026 adjusted EPS was $1.03, with industrial sales growth of 10% (weather-adjusted) driven by new and expansion projects ramping up. ETR reaffirmed its 2026 adjusted EPS guidance and longer-term outlooks through 2030. </w:t>
      </w:r>
      <w:r>
        <w:rPr>
          <w:rFonts w:ascii="Calibri" w:hAnsi="Calibri"/>
          <w:b/>
          <w:color w:val="525866"/>
          <w:sz w:val="22"/>
        </w:rPr>
        <w:t>Read-through for EXC:</w:t>
      </w:r>
      <w:r>
        <w:rPr>
          <w:rFonts w:ascii="Calibri" w:hAnsi="Calibri"/>
          <w:color w:val="525866"/>
          <w:sz w:val="22"/>
        </w:rPr>
        <w:t xml:space="preserve"> Strong industrial load growth and guidance reaffirmation from a major regulated utility is a positive sector read-through; ETR’s 10% industrial sales growth is the strongest data point in the peer set for Q2 load demand.</w:t>
      </w:r>
    </w:p>
    <w:p>
      <w:pPr>
        <w:pStyle w:val="ListBullet"/>
        <w:ind w:left="360" w:hanging="360"/>
      </w:pPr>
      <w:r>
        <w:rPr>
          <w:rFonts w:ascii="Calibri" w:hAnsi="Calibri"/>
          <w:color w:val="525866"/>
          <w:sz w:val="22"/>
        </w:rPr>
        <w:t xml:space="preserve">At its June 9, 2026 Investor Day, ETR disclosed a $67B five-year capital plan (avg. $13B/year), with retail sales growth expected to more than double over five years and a total retail sales increase of over 50%. ETR’s 24-month ESA outlook projects 7–12 GW of hyperscale data center demand plus 3–5 GW of traditional industrial demand. </w:t>
      </w:r>
      <w:r>
        <w:rPr>
          <w:rFonts w:ascii="Calibri" w:hAnsi="Calibri"/>
          <w:b/>
          <w:color w:val="525866"/>
          <w:sz w:val="22"/>
        </w:rPr>
        <w:t>Read-through for EXC:</w:t>
      </w:r>
      <w:r>
        <w:rPr>
          <w:rFonts w:ascii="Calibri" w:hAnsi="Calibri"/>
          <w:color w:val="525866"/>
          <w:sz w:val="22"/>
        </w:rPr>
        <w:t xml:space="preserve"> The scale of ETR’s load growth ambition validates the national data center demand thesis; EXC’s own large load pipeline and transmission investment are part of the same secular trend.</w:t>
      </w:r>
    </w:p>
    <w:p>
      <w:pPr>
        <w:pStyle w:val="ListBullet"/>
        <w:ind w:left="360" w:hanging="360"/>
      </w:pPr>
      <w:r>
        <w:rPr>
          <w:rFonts w:ascii="Calibri" w:hAnsi="Calibri"/>
          <w:color w:val="525866"/>
          <w:sz w:val="22"/>
        </w:rPr>
        <w:t xml:space="preserve">ETR’s “Fair Share Plus Pledge” ensures data center customers pay the full cost to serve them plus their fair share of fixed costs, projecting $7B in customer bill benefits. ETR’s rates remain “some of the lowest residential rates in the country.” </w:t>
      </w:r>
      <w:r>
        <w:rPr>
          <w:rFonts w:ascii="Calibri" w:hAnsi="Calibri"/>
          <w:b/>
          <w:color w:val="525866"/>
          <w:sz w:val="22"/>
        </w:rPr>
        <w:t>Read-through for EXC:</w:t>
      </w:r>
      <w:r>
        <w:rPr>
          <w:rFonts w:ascii="Calibri" w:hAnsi="Calibri"/>
          <w:color w:val="525866"/>
          <w:sz w:val="22"/>
        </w:rPr>
        <w:t xml:space="preserve"> The affordability-first framing of large load growth is directly analogous to EXC’s TSA-backed approach; both companies are using data center revenue to cross-subsidize existing customer affordability, which is the regulatory narrative EXC needs to advance in Pennsylvania.</w:t>
      </w:r>
    </w:p>
    <w:p>
      <w:pPr>
        <w:pStyle w:val="ListBullet"/>
        <w:ind w:left="360" w:hanging="360"/>
      </w:pPr>
      <w:r>
        <w:rPr>
          <w:rFonts w:ascii="Calibri" w:hAnsi="Calibri"/>
          <w:color w:val="525866"/>
          <w:sz w:val="22"/>
        </w:rPr>
        <w:t xml:space="preserve">ETR is building over 1,000 miles of new transmission (800 miles of 500 kV lines) and has saved over $200M through continuous improvement on two transmission projects. O&amp;M per MWh is expected to decrease by at least 20% over the plan period despite significant investment. </w:t>
      </w:r>
      <w:r>
        <w:rPr>
          <w:rFonts w:ascii="Calibri" w:hAnsi="Calibri"/>
          <w:b/>
          <w:color w:val="525866"/>
          <w:sz w:val="22"/>
        </w:rPr>
        <w:t>Read-through for EXC:</w:t>
      </w:r>
      <w:r>
        <w:rPr>
          <w:rFonts w:ascii="Calibri" w:hAnsi="Calibri"/>
          <w:color w:val="525866"/>
          <w:sz w:val="22"/>
        </w:rPr>
        <w:t xml:space="preserve"> Transmission build-out at scale with simultaneous O&amp;M efficiency gains is the exact playbook EXC is executing; ETR’s cost savings validate EXC’s $350M O&amp;M savings target as achievable.</w:t>
      </w:r>
    </w:p>
    <w:p>
      <w:pPr>
        <w:pStyle w:val="ListBullet"/>
        <w:ind w:left="360" w:hanging="360"/>
      </w:pPr>
      <w:r>
        <w:rPr>
          <w:rFonts w:ascii="Calibri" w:hAnsi="Calibri"/>
          <w:color w:val="525866"/>
          <w:sz w:val="22"/>
        </w:rPr>
        <w:t xml:space="preserve">ETR expects Q3 2026 other O&amp;M to be approximately $0.05–$0.10 higher than Q3 2025, driven by expenses recovered through riders. </w:t>
      </w:r>
      <w:r>
        <w:rPr>
          <w:rFonts w:ascii="Calibri" w:hAnsi="Calibri"/>
          <w:b/>
          <w:color w:val="525866"/>
          <w:sz w:val="22"/>
        </w:rPr>
        <w:t>Read-through for EXC:</w:t>
      </w:r>
      <w:r>
        <w:rPr>
          <w:rFonts w:ascii="Calibri" w:hAnsi="Calibri"/>
          <w:color w:val="525866"/>
          <w:sz w:val="22"/>
        </w:rPr>
        <w:t xml:space="preserve"> Mild negative read-through for EXC’s Q2/Q3 O&amp;M; rider-recovered expense increases are earnings-neutral but can create noise in reported O&amp;M lines.</w:t>
      </w:r>
    </w:p>
    <w:p>
      <w:pPr>
        <w:pStyle w:val="Heading3"/>
      </w:pPr>
      <w:r>
        <w:rPr>
          <w:rFonts w:ascii="Calibri" w:hAnsi="Calibri"/>
          <w:b/>
          <w:color w:val="3B4259"/>
          <w:sz w:val="24"/>
        </w:rPr>
        <w:t>PPL Corporation (PPL) — Q1 2026 Earnings (May 8, 2026)</w:t>
      </w:r>
    </w:p>
    <w:p>
      <w:r>
        <w:rPr>
          <w:rFonts w:ascii="Calibri" w:hAnsi="Calibri"/>
          <w:b/>
          <w:color w:val="525866"/>
          <w:sz w:val="22"/>
          <w:u w:val="single"/>
        </w:rPr>
        <w:t>Read-Through Theme: Pennsylvania Regulatory Environment &amp; PJM Data Center Demand</w:t>
      </w:r>
    </w:p>
    <w:p>
      <w:pPr>
        <w:pStyle w:val="ListBullet"/>
        <w:ind w:left="360" w:hanging="360"/>
      </w:pPr>
      <w:r>
        <w:rPr>
          <w:rFonts w:ascii="Calibri" w:hAnsi="Calibri"/>
          <w:color w:val="525866"/>
          <w:sz w:val="22"/>
        </w:rPr>
        <w:t xml:space="preserve">PPL Electric Utilities’ data center pipeline in Pennsylvania grew to 28.3 GW in advanced planning stages (+12% from year-end), with ~10 GW having signed Electric Service Agreements and 5 GW already under construction. </w:t>
      </w:r>
      <w:r>
        <w:rPr>
          <w:rFonts w:ascii="Calibri" w:hAnsi="Calibri"/>
          <w:b/>
          <w:color w:val="525866"/>
          <w:sz w:val="22"/>
        </w:rPr>
        <w:t>Read-through for EXC:</w:t>
      </w:r>
      <w:r>
        <w:rPr>
          <w:rFonts w:ascii="Calibri" w:hAnsi="Calibri"/>
          <w:color w:val="525866"/>
          <w:sz w:val="22"/>
        </w:rPr>
        <w:t xml:space="preserve"> The most direct Pennsylvania-specific read-through for EXC; the scale of PPL’s Pennsylvania data center pipeline validates EXC’s own large load opportunity at PECO and ComEd, and the 5 GW under construction signals near-term load growth is real, not speculative.</w:t>
      </w:r>
    </w:p>
    <w:p>
      <w:pPr>
        <w:pStyle w:val="ListBullet"/>
        <w:ind w:left="360" w:hanging="360"/>
      </w:pPr>
      <w:r>
        <w:rPr>
          <w:rFonts w:ascii="Calibri" w:hAnsi="Calibri"/>
          <w:color w:val="525866"/>
          <w:sz w:val="22"/>
        </w:rPr>
        <w:t xml:space="preserve">PPL reached a constructive settlement in its Pennsylvania distribution base rate case, with bill increases less than 4% across all customer classes and a two-year stay-out. PPL management stated they are “not concerned that we really need to alter our stance in PA” and view it as “a great jurisdiction.” </w:t>
      </w:r>
      <w:r>
        <w:rPr>
          <w:rFonts w:ascii="Calibri" w:hAnsi="Calibri"/>
          <w:b/>
          <w:color w:val="525866"/>
          <w:sz w:val="22"/>
        </w:rPr>
        <w:t>Read-through for EXC:</w:t>
      </w:r>
      <w:r>
        <w:rPr>
          <w:rFonts w:ascii="Calibri" w:hAnsi="Calibri"/>
          <w:color w:val="525866"/>
          <w:sz w:val="22"/>
        </w:rPr>
        <w:t xml:space="preserve"> Critically important contrast to EXC’s PECO withdrawal; PPL’s successful Pennsylvania rate case settlement (with Governor Shapiro’s same letter in the background) suggests the regulatory environment is navigable if the affordability framing is right. This is a mild positive for EXC’s eventual PECO re-filing prospects.</w:t>
      </w:r>
    </w:p>
    <w:p>
      <w:pPr>
        <w:pStyle w:val="ListBullet"/>
        <w:ind w:left="360" w:hanging="360"/>
      </w:pPr>
      <w:r>
        <w:rPr>
          <w:rFonts w:ascii="Calibri" w:hAnsi="Calibri"/>
          <w:color w:val="525866"/>
          <w:sz w:val="22"/>
        </w:rPr>
        <w:t xml:space="preserve">PPL’s Blackstone JV for dedicated generation is executing gas turbine reservation agreements and submitting PJM interconnection queue requests; management expects “something meaningful to announce this year” on hyperscaler ESSAs. </w:t>
      </w:r>
      <w:r>
        <w:rPr>
          <w:rFonts w:ascii="Calibri" w:hAnsi="Calibri"/>
          <w:b/>
          <w:color w:val="525866"/>
          <w:sz w:val="22"/>
        </w:rPr>
        <w:t>Read-through for EXC:</w:t>
      </w:r>
      <w:r>
        <w:rPr>
          <w:rFonts w:ascii="Calibri" w:hAnsi="Calibri"/>
          <w:color w:val="525866"/>
          <w:sz w:val="22"/>
        </w:rPr>
        <w:t xml:space="preserve"> Validates EXC’s resource adequacy advocacy; if PPL announces a hyperscaler generation deal, it would strengthen EXC’s case for utility-owned backstop generation in PJM.</w:t>
      </w:r>
    </w:p>
    <w:p>
      <w:pPr>
        <w:pStyle w:val="ListBullet"/>
        <w:ind w:left="360" w:hanging="360"/>
      </w:pPr>
      <w:r>
        <w:rPr>
          <w:rFonts w:ascii="Calibri" w:hAnsi="Calibri"/>
          <w:color w:val="525866"/>
          <w:sz w:val="22"/>
        </w:rPr>
        <w:t xml:space="preserve">PPL reaffirmed its 2026 ongoing EPS guidance of $1.90–$1.98 (midpoint $1.94) and its $5.1B 2026 capital investment plan. </w:t>
      </w:r>
      <w:r>
        <w:rPr>
          <w:rFonts w:ascii="Calibri" w:hAnsi="Calibri"/>
          <w:b/>
          <w:color w:val="525866"/>
          <w:sz w:val="22"/>
        </w:rPr>
        <w:t>Read-through for EXC:</w:t>
      </w:r>
      <w:r>
        <w:rPr>
          <w:rFonts w:ascii="Calibri" w:hAnsi="Calibri"/>
          <w:color w:val="525866"/>
          <w:sz w:val="22"/>
        </w:rPr>
        <w:t xml:space="preserve"> Another PJM-territory peer reaffirmation; the consistency of guidance reaffirmations across the peer set reduces the risk of an EXC-specific guidance cut.</w:t>
      </w:r>
    </w:p>
    <w:p>
      <w:pPr>
        <w:pStyle w:val="ListBullet"/>
        <w:ind w:left="360" w:hanging="360"/>
      </w:pPr>
      <w:r>
        <w:rPr>
          <w:rFonts w:ascii="Calibri" w:hAnsi="Calibri"/>
          <w:color w:val="525866"/>
          <w:sz w:val="22"/>
        </w:rPr>
        <w:t xml:space="preserve">PPL noted that O&amp;M increases have been kept 25% below inflation over the prior decade and is leveraging AI and system consolidation for further savings. </w:t>
      </w:r>
      <w:r>
        <w:rPr>
          <w:rFonts w:ascii="Calibri" w:hAnsi="Calibri"/>
          <w:b/>
          <w:color w:val="525866"/>
          <w:sz w:val="22"/>
        </w:rPr>
        <w:t>Read-through for EXC:</w:t>
      </w:r>
      <w:r>
        <w:rPr>
          <w:rFonts w:ascii="Calibri" w:hAnsi="Calibri"/>
          <w:color w:val="525866"/>
          <w:sz w:val="22"/>
        </w:rPr>
        <w:t xml:space="preserve"> Validates EXC’s O&amp;M discipline narrative; AI-driven cost savings are becoming a sector-wide theme that regulators are beginning to expect.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EXC insiders since the Q1 2026 earnings date; the only Form 4 activity consists of routine director deferred compensation plan accruals (transaction code A, 10b5-1 plan), which carry no informational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William P. Bowers</w:t>
            </w:r>
          </w:p>
        </w:tc>
        <w:tc>
          <w:tcPr>
            <w:tcW w:type="dxa" w:w="1234"/>
          </w:tcPr>
          <w:p>
            <w:r>
              <w:rPr>
                <w:rFonts w:ascii="Calibri" w:hAnsi="Calibri"/>
                <w:sz w:val="22"/>
              </w:rPr>
              <w:t>Director</w:t>
            </w:r>
          </w:p>
        </w:tc>
        <w:tc>
          <w:tcPr>
            <w:tcW w:type="dxa" w:w="1234"/>
          </w:tcPr>
          <w:p>
            <w:r>
              <w:rPr>
                <w:rFonts w:ascii="Calibri" w:hAnsi="Calibri"/>
                <w:sz w:val="22"/>
              </w:rPr>
              <w:t>Deferred Compensation Accrual (Code A)</w:t>
            </w:r>
          </w:p>
        </w:tc>
        <w:tc>
          <w:tcPr>
            <w:tcW w:type="dxa" w:w="1234"/>
          </w:tcPr>
          <w:p>
            <w:r>
              <w:rPr>
                <w:rFonts w:ascii="Calibri" w:hAnsi="Calibri"/>
                <w:sz w:val="22"/>
              </w:rPr>
              <w:t>Deferred Phantom Share Equivalents</w:t>
            </w:r>
          </w:p>
        </w:tc>
        <w:tc>
          <w:tcPr>
            <w:tcW w:type="dxa" w:w="1234"/>
          </w:tcPr>
          <w:p>
            <w:r>
              <w:rPr>
                <w:rFonts w:ascii="Calibri" w:hAnsi="Calibri"/>
                <w:sz w:val="22"/>
              </w:rPr>
              <w:t>925</w:t>
            </w:r>
          </w:p>
        </w:tc>
        <w:tc>
          <w:tcPr>
            <w:tcW w:type="dxa" w:w="1234"/>
          </w:tcPr>
          <w:p>
            <w:r>
              <w:rPr>
                <w:rFonts w:ascii="Calibri" w:hAnsi="Calibri"/>
                <w:sz w:val="22"/>
              </w:rPr>
              <w:t>June 30, 2026</w:t>
            </w:r>
          </w:p>
        </w:tc>
        <w:tc>
          <w:tcPr>
            <w:tcW w:type="dxa" w:w="1234"/>
          </w:tcPr>
          <w:p>
            <w:r>
              <w:rPr>
                <w:rFonts w:ascii="Calibri" w:hAnsi="Calibri"/>
                <w:sz w:val="22"/>
              </w:rPr>
              <w:t>Routine 10b5-1 deferred comp plan; not an open-market purchase; no informational signal</w:t>
            </w:r>
          </w:p>
        </w:tc>
      </w:tr>
      <w:tr>
        <w:tc>
          <w:tcPr>
            <w:tcW w:type="dxa" w:w="1234"/>
          </w:tcPr>
          <w:p>
            <w:r>
              <w:rPr>
                <w:rFonts w:ascii="Calibri" w:hAnsi="Calibri"/>
                <w:sz w:val="22"/>
              </w:rPr>
              <w:t>Marjorie Rodgers Cheshire</w:t>
            </w:r>
          </w:p>
        </w:tc>
        <w:tc>
          <w:tcPr>
            <w:tcW w:type="dxa" w:w="1234"/>
          </w:tcPr>
          <w:p>
            <w:r>
              <w:rPr>
                <w:rFonts w:ascii="Calibri" w:hAnsi="Calibri"/>
                <w:sz w:val="22"/>
              </w:rPr>
              <w:t>Director</w:t>
            </w:r>
          </w:p>
        </w:tc>
        <w:tc>
          <w:tcPr>
            <w:tcW w:type="dxa" w:w="1234"/>
          </w:tcPr>
          <w:p>
            <w:r>
              <w:rPr>
                <w:rFonts w:ascii="Calibri" w:hAnsi="Calibri"/>
                <w:sz w:val="22"/>
              </w:rPr>
              <w:t>Deferred Compensation Accrual (Code A)</w:t>
            </w:r>
          </w:p>
        </w:tc>
        <w:tc>
          <w:tcPr>
            <w:tcW w:type="dxa" w:w="1234"/>
          </w:tcPr>
          <w:p>
            <w:r>
              <w:rPr>
                <w:rFonts w:ascii="Calibri" w:hAnsi="Calibri"/>
                <w:sz w:val="22"/>
              </w:rPr>
              <w:t>Deferred Phantom Share Equivalents</w:t>
            </w:r>
          </w:p>
        </w:tc>
        <w:tc>
          <w:tcPr>
            <w:tcW w:type="dxa" w:w="1234"/>
          </w:tcPr>
          <w:p>
            <w:r>
              <w:rPr>
                <w:rFonts w:ascii="Calibri" w:hAnsi="Calibri"/>
                <w:sz w:val="22"/>
              </w:rPr>
              <w:t>442</w:t>
            </w:r>
          </w:p>
        </w:tc>
        <w:tc>
          <w:tcPr>
            <w:tcW w:type="dxa" w:w="1234"/>
          </w:tcPr>
          <w:p>
            <w:r>
              <w:rPr>
                <w:rFonts w:ascii="Calibri" w:hAnsi="Calibri"/>
                <w:sz w:val="22"/>
              </w:rPr>
              <w:t>June 30, 2026</w:t>
            </w:r>
          </w:p>
        </w:tc>
        <w:tc>
          <w:tcPr>
            <w:tcW w:type="dxa" w:w="1234"/>
          </w:tcPr>
          <w:p>
            <w:r>
              <w:rPr>
                <w:rFonts w:ascii="Calibri" w:hAnsi="Calibri"/>
                <w:sz w:val="22"/>
              </w:rPr>
              <w:t>Routine 10b5-1 deferred comp plan; not an open-market purchase; no informational signal</w:t>
            </w:r>
          </w:p>
        </w:tc>
      </w:tr>
      <w:tr>
        <w:tc>
          <w:tcPr>
            <w:tcW w:type="dxa" w:w="1234"/>
          </w:tcPr>
          <w:p>
            <w:r>
              <w:rPr>
                <w:rFonts w:ascii="Calibri" w:hAnsi="Calibri"/>
                <w:sz w:val="22"/>
              </w:rPr>
              <w:t>Charisse R. Lillie</w:t>
            </w:r>
          </w:p>
        </w:tc>
        <w:tc>
          <w:tcPr>
            <w:tcW w:type="dxa" w:w="1234"/>
          </w:tcPr>
          <w:p>
            <w:r>
              <w:rPr>
                <w:rFonts w:ascii="Calibri" w:hAnsi="Calibri"/>
                <w:sz w:val="22"/>
              </w:rPr>
              <w:t>Director</w:t>
            </w:r>
          </w:p>
        </w:tc>
        <w:tc>
          <w:tcPr>
            <w:tcW w:type="dxa" w:w="1234"/>
          </w:tcPr>
          <w:p>
            <w:r>
              <w:rPr>
                <w:rFonts w:ascii="Calibri" w:hAnsi="Calibri"/>
                <w:sz w:val="22"/>
              </w:rPr>
              <w:t>Deferred Compensation Accrual (Code A)</w:t>
            </w:r>
          </w:p>
        </w:tc>
        <w:tc>
          <w:tcPr>
            <w:tcW w:type="dxa" w:w="1234"/>
          </w:tcPr>
          <w:p>
            <w:r>
              <w:rPr>
                <w:rFonts w:ascii="Calibri" w:hAnsi="Calibri"/>
                <w:sz w:val="22"/>
              </w:rPr>
              <w:t>Deferred Phantom Share Equivalents</w:t>
            </w:r>
          </w:p>
        </w:tc>
        <w:tc>
          <w:tcPr>
            <w:tcW w:type="dxa" w:w="1234"/>
          </w:tcPr>
          <w:p>
            <w:r>
              <w:rPr>
                <w:rFonts w:ascii="Calibri" w:hAnsi="Calibri"/>
                <w:sz w:val="22"/>
              </w:rPr>
              <w:t>5</w:t>
            </w:r>
          </w:p>
        </w:tc>
        <w:tc>
          <w:tcPr>
            <w:tcW w:type="dxa" w:w="1234"/>
          </w:tcPr>
          <w:p>
            <w:r>
              <w:rPr>
                <w:rFonts w:ascii="Calibri" w:hAnsi="Calibri"/>
                <w:sz w:val="22"/>
              </w:rPr>
              <w:t>June 30, 2026</w:t>
            </w:r>
          </w:p>
        </w:tc>
        <w:tc>
          <w:tcPr>
            <w:tcW w:type="dxa" w:w="1234"/>
          </w:tcPr>
          <w:p>
            <w:r>
              <w:rPr>
                <w:rFonts w:ascii="Calibri" w:hAnsi="Calibri"/>
                <w:sz w:val="22"/>
              </w:rPr>
              <w:t>Routine 10b5-1 deferred comp plan; not an open-market purchase; no informational signal</w:t>
            </w:r>
          </w:p>
        </w:tc>
      </w:tr>
      <w:tr>
        <w:tc>
          <w:tcPr>
            <w:tcW w:type="dxa" w:w="1234"/>
          </w:tcPr>
          <w:p>
            <w:r>
              <w:rPr>
                <w:rFonts w:ascii="Calibri" w:hAnsi="Calibri"/>
                <w:sz w:val="22"/>
              </w:rPr>
              <w:t>Matthew C. Rogers</w:t>
            </w:r>
          </w:p>
        </w:tc>
        <w:tc>
          <w:tcPr>
            <w:tcW w:type="dxa" w:w="1234"/>
          </w:tcPr>
          <w:p>
            <w:r>
              <w:rPr>
                <w:rFonts w:ascii="Calibri" w:hAnsi="Calibri"/>
                <w:sz w:val="22"/>
              </w:rPr>
              <w:t>Director</w:t>
            </w:r>
          </w:p>
        </w:tc>
        <w:tc>
          <w:tcPr>
            <w:tcW w:type="dxa" w:w="1234"/>
          </w:tcPr>
          <w:p>
            <w:r>
              <w:rPr>
                <w:rFonts w:ascii="Calibri" w:hAnsi="Calibri"/>
                <w:sz w:val="22"/>
              </w:rPr>
              <w:t>Deferred Compensation Accrual (Code A)</w:t>
            </w:r>
          </w:p>
        </w:tc>
        <w:tc>
          <w:tcPr>
            <w:tcW w:type="dxa" w:w="1234"/>
          </w:tcPr>
          <w:p>
            <w:r>
              <w:rPr>
                <w:rFonts w:ascii="Calibri" w:hAnsi="Calibri"/>
                <w:sz w:val="22"/>
              </w:rPr>
              <w:t>Deferred Phantom Share Equivalents</w:t>
            </w:r>
          </w:p>
        </w:tc>
        <w:tc>
          <w:tcPr>
            <w:tcW w:type="dxa" w:w="1234"/>
          </w:tcPr>
          <w:p>
            <w:r>
              <w:rPr>
                <w:rFonts w:ascii="Calibri" w:hAnsi="Calibri"/>
                <w:sz w:val="22"/>
              </w:rPr>
              <w:t>778</w:t>
            </w:r>
          </w:p>
        </w:tc>
        <w:tc>
          <w:tcPr>
            <w:tcW w:type="dxa" w:w="1234"/>
          </w:tcPr>
          <w:p>
            <w:r>
              <w:rPr>
                <w:rFonts w:ascii="Calibri" w:hAnsi="Calibri"/>
                <w:sz w:val="22"/>
              </w:rPr>
              <w:t>June 30, 2026</w:t>
            </w:r>
          </w:p>
        </w:tc>
        <w:tc>
          <w:tcPr>
            <w:tcW w:type="dxa" w:w="1234"/>
          </w:tcPr>
          <w:p>
            <w:r>
              <w:rPr>
                <w:rFonts w:ascii="Calibri" w:hAnsi="Calibri"/>
                <w:sz w:val="22"/>
              </w:rPr>
              <w:t>Routine 10b5-1 deferred comp plan; not an open-market purchase; no informational signal</w:t>
            </w:r>
          </w:p>
        </w:tc>
      </w:tr>
    </w:tbl>
    <w:p>
      <w:r>
        <w:rPr>
          <w:rFonts w:ascii="Calibri" w:hAnsi="Calibri"/>
          <w:i/>
          <w:color w:val="525866"/>
          <w:sz w:val="22"/>
        </w:rPr>
        <w:t>All Form 4 filings since May 6, 2026 are routine director deferred compensation accruals (transaction code A, indirect ownership via deferred phantom share equivalents under pre-established 10b5-1 plans). There are no open-market purchases (code P) or discretionary sales (code S) by any executive officer or director during the period. The absence of insider buying ahead of earnings is not unusual for a utility in a quiet period, and the absence of selling is a mild neutral-to-positive signal. Nothing in the insider activity warrants a directional read.</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