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e-earnings-predictions--2026-07-28"/>
    <w:p>
      <w:pPr>
        <w:pStyle w:val="Heading1"/>
      </w:pPr>
      <w:r>
        <w:t xml:space="preserve">EXE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2.25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2.40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EBITDAX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400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1,420M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Free Cash Flow (Q2'26)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680M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production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~7.5 Bcfe/d vs. cons ~7.5 Bcfe/d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capex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2.85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2.85B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Marketing/commercial FCF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750</m:t>
              </m:r>
              <m:r>
                <m:t>M</m:t>
              </m:r>
              <m:r>
                <m:rPr>
                  <m:sty m:val="p"/>
                </m:rPr>
                <m:t>/</m:t>
              </m:r>
              <m:r>
                <m:t>y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500M/yr (annual run-rate post Twin Eagle)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Twin Eagle EBITDA accretion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~&gt;</w:t>
            </w:r>
            <m:oMath>
              <m:r>
                <m:t>200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 (annual, not yet modeled)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Near-term buyback capacity (2H26)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150</m:t>
              </m:r>
              <m:r>
                <m:rPr>
                  <m:sty m:val="p"/>
                </m:rPr>
                <m:t>−</m:t>
              </m:r>
              <m:r>
                <m:t>200</m:t>
              </m:r>
              <m:r>
                <m:t>M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t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300M/qtr (2H2026, cash diverted to $1.25B deal)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Seasonally soft Q2 (lower spring realizations, front-loaded capex) is an expected step-down, so the print itself is a sideshow; the debate is Twin Eagle. Gas E&amp;P investors typically penalize moves down the value chain into a trading/marketing book, and the</w:t>
            </w:r>
            <w:r>
              <w:t xml:space="preserve"> </w:t>
            </w:r>
            <m:oMath>
              <m:r>
                <m:t>1.25</m:t>
              </m:r>
              <m:r>
                <m:t>B</m:t>
              </m:r>
              <m:r>
                <m:t>c</m:t>
              </m:r>
              <m:r>
                <m:t>a</m:t>
              </m:r>
              <m:r>
                <m:t>s</m:t>
              </m:r>
              <m:r>
                <m:t>h</m:t>
              </m:r>
              <m:r>
                <m:rPr>
                  <m:sty m:val="p"/>
                </m:rPr>
                <m:t>−</m:t>
              </m:r>
              <m:r>
                <m:t>a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e</m:t>
              </m:r>
              <m:r>
                <m:t>v</m:t>
              </m:r>
              <m:r>
                <m:t>o</m:t>
              </m:r>
              <m:r>
                <m:t>l</m:t>
              </m:r>
              <m:r>
                <m:t>v</m:t>
              </m:r>
              <m:r>
                <m:t>e</m:t>
              </m:r>
              <m:r>
                <m:t>r</m:t>
              </m:r>
              <m:r>
                <m:t>f</m:t>
              </m:r>
              <m:r>
                <m:t>u</m:t>
              </m:r>
              <m:r>
                <m:t>n</m:t>
              </m:r>
              <m:r>
                <m:t>d</m:t>
              </m:r>
              <m:r>
                <m:t>i</m:t>
              </m:r>
              <m:r>
                <m:t>n</m:t>
              </m:r>
              <m:r>
                <m:t>g</m:t>
              </m:r>
              <m:r>
                <m:t>c</m:t>
              </m:r>
              <m:r>
                <m:t>r</m:t>
              </m:r>
              <m:r>
                <m:t>o</m:t>
              </m:r>
              <m:r>
                <m:t>w</m:t>
              </m:r>
              <m:r>
                <m:t>d</m:t>
              </m:r>
              <m:r>
                <m:t>s</m:t>
              </m:r>
              <m:r>
                <m:t>o</m:t>
              </m:r>
              <m:r>
                <m:t>u</m:t>
              </m:r>
              <m:r>
                <m:t>t</m:t>
              </m:r>
              <m:r>
                <m:t>b</m:t>
              </m:r>
              <m:r>
                <m:t>u</m:t>
              </m:r>
              <m:r>
                <m:t>y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s</m:t>
              </m:r>
              <m:r>
                <m:t>a</m:t>
              </m:r>
              <m:r>
                <m:t>t</m:t>
              </m:r>
              <m:r>
                <m:t>a</m:t>
              </m:r>
              <m:r>
                <m:t>s</m:t>
              </m:r>
              <m:r>
                <m:t>t</m:t>
              </m:r>
              <m:r>
                <m:t>o</m:t>
              </m:r>
              <m:r>
                <m:t>c</m:t>
              </m:r>
              <m:r>
                <m:t>k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a</m:t>
              </m:r>
              <m:r>
                <m:t>d</m:t>
              </m:r>
              <m:r>
                <m:t>y</m:t>
              </m:r>
              <m:r>
                <m:rPr>
                  <m:sty m:val="p"/>
                </m:rPr>
                <m:t>−</m:t>
              </m:r>
              <m:r>
                <m:t>18</m:t>
              </m:r>
            </m:oMath>
            <w:r>
              <w:t xml:space="preserve">3s 2027 strip pressures FCF, lower near-term repurchase capacity, and marketing EBITDA carries a lower multiple than E&amp;P cash flow, so as analysts trim 2H26/2027 buyback and FCF assumptions the initial cautious reaction follows through lower rather than reversing.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2026-07-28T01:34:40Z</dcterms:created>
  <dcterms:modified xsi:type="dcterms:W3CDTF">2026-07-28T01:34:40Z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