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EXE before writing the preview. Let me start by gathering recent filings, transcripts, news, and price data.EXE is Expand Energy (formerly Chesapeake). There's breaking news the day before earnings. Let me dig deeper.Let me get the Q1 earnings release financials and recent context.Let me get natural gas macro context and any analyst estimate color.I now have what I need. Here's the earnings preview.</w:t>
      </w:r>
    </w:p>
    <w:p>
      <w:r>
        <w:pict>
          <v:rect style="width:0;height:1.5pt" o:hralign="center" o:hrstd="t" o:hr="t"/>
        </w:pict>
      </w:r>
    </w:p>
    <w:bookmarkStart w:id="16" w:name="Xfbf1641d441ece4481c5c9d0bbf2fc072a7897f"/>
    <w:p>
      <w:pPr>
        <w:pStyle w:val="Heading1"/>
      </w:pPr>
      <w:r>
        <w:t xml:space="preserve">Expand Energy (EXE) — Q2 2026 Earnings Preview</w:t>
      </w:r>
    </w:p>
    <w:bookmarkStart w:id="9" w:name="Xc2fdf3be5bc4da4d0023f683f4f29487ccf8615"/>
    <w:p>
      <w:pPr>
        <w:pStyle w:val="Heading3"/>
      </w:pPr>
      <w:r>
        <w:t xml:space="preserve">Report date: Tuesday, July 28, 2026 (2026Q2 Earnings Call) · Prior close (7/27): $90.53</w:t>
      </w:r>
    </w:p>
    <w:bookmarkEnd w:id="9"/>
    <w:bookmarkStart w:id="11" w:name="the-one-thing-that-matters-this-quarter"/>
    <w:p>
      <w:pPr>
        <w:pStyle w:val="Heading2"/>
      </w:pPr>
      <w:r>
        <w:t xml:space="preserve">The one thing that matters this quarter</w:t>
      </w:r>
    </w:p>
    <w:p>
      <w:pPr>
        <w:pStyle w:val="FirstParagraph"/>
      </w:pPr>
      <w:r>
        <w:t xml:space="preserve">EXE walks into this print with a brand-new strategic story.</w:t>
      </w:r>
      <w:r>
        <w:t xml:space="preserve"> </w:t>
      </w:r>
      <w:r>
        <w:rPr>
          <w:b/>
          <w:bCs/>
        </w:rPr>
        <w:t xml:space="preserve">On July 27 — literally the day before earnings — Expand announced a definitive agreement to acquire Twin Eagle Holdings for $1.25 billion</w:t>
      </w:r>
      <w:r>
        <w:t xml:space="preserve">, a private asset-backed natural gas marketing and optimization business, from Five Point Infrastructure. Management framed it as the move that turns North America's largest gas</w:t>
      </w:r>
      <w:r>
        <w:t xml:space="preserve"> </w:t>
      </w:r>
      <w:r>
        <w:rPr>
          <w:i/>
          <w:iCs/>
        </w:rPr>
        <w:t xml:space="preserve">producer</w:t>
      </w:r>
      <w:r>
        <w:t xml:space="preserve"> </w:t>
      </w:r>
      <w:r>
        <w:t xml:space="preserve">into its leading gas</w:t>
      </w:r>
      <w:r>
        <w:t xml:space="preserve"> </w:t>
      </w:r>
      <w:r>
        <w:rPr>
          <w:i/>
          <w:iCs/>
        </w:rPr>
        <w:t xml:space="preserve">marketer</w:t>
      </w:r>
      <w:r>
        <w:t xml:space="preserve">, and it is expected to close in Q3 2026, funded through cash on hand and the revolver.</w:t>
      </w:r>
    </w:p>
    <w:p>
      <w:pPr>
        <w:pStyle w:val="BodyText"/>
      </w:pPr>
      <w:r>
        <w:t xml:space="preserve">Because the deal dropped the day before the call,</w:t>
      </w:r>
      <w:r>
        <w:t xml:space="preserve"> </w:t>
      </w:r>
      <w:r>
        <w:rPr>
          <w:b/>
          <w:bCs/>
        </w:rPr>
        <w:t xml:space="preserve">the Q2 call will effectively double as the Twin Eagle roadshow.</w:t>
      </w:r>
      <w:r>
        <w:t xml:space="preserve"> </w:t>
      </w:r>
      <w:r>
        <w:t xml:space="preserve">Expect management to spend as much time defending/explaining the acquisition as reviewing the quarter itself. That reframes the whole event: the actual Q2 numbers are almost the sideshow.</w:t>
      </w:r>
    </w:p>
    <w:bookmarkStart w:id="10" w:name="what-to-know-about-twin-eagle-going-in"/>
    <w:p>
      <w:pPr>
        <w:pStyle w:val="Heading3"/>
      </w:pPr>
      <w:r>
        <w:t xml:space="preserve">What to know about Twin Eagle going in</w:t>
      </w:r>
    </w:p>
    <w:p>
      <w:pPr>
        <w:pStyle w:val="Compact"/>
        <w:numPr>
          <w:ilvl w:val="0"/>
          <w:numId w:val="1001"/>
        </w:numPr>
      </w:pPr>
      <w:r>
        <w:rPr>
          <w:b/>
          <w:bCs/>
        </w:rPr>
        <w:t xml:space="preserve">Price/economics:</w:t>
      </w:r>
      <w:r>
        <w:t xml:space="preserve"> </w:t>
      </w:r>
      <m:oMath>
        <m:r>
          <m:t>1.25</m:t>
        </m:r>
        <m:r>
          <m:t>B</m:t>
        </m:r>
        <m:r>
          <m:t>f</m:t>
        </m:r>
        <m:r>
          <m:t>o</m:t>
        </m:r>
        <m:r>
          <m:t>r</m:t>
        </m:r>
        <m:r>
          <m:t>a</m:t>
        </m:r>
        <m:r>
          <m:t>b</m:t>
        </m:r>
        <m:r>
          <m:t>u</m:t>
        </m:r>
        <m:r>
          <m:t>s</m:t>
        </m:r>
        <m:r>
          <m:t>i</m:t>
        </m:r>
        <m:r>
          <m:t>n</m:t>
        </m:r>
        <m:r>
          <m:t>e</m:t>
        </m:r>
        <m:r>
          <m:t>s</m:t>
        </m:r>
        <m:r>
          <m:t>s</m:t>
        </m:r>
        <m:r>
          <m:t>e</m:t>
        </m:r>
        <m:r>
          <m:t>x</m:t>
        </m:r>
        <m:r>
          <m:t>p</m:t>
        </m:r>
        <m:r>
          <m:t>e</m:t>
        </m:r>
        <m:r>
          <m:t>c</m:t>
        </m:r>
        <m:r>
          <m:t>t</m:t>
        </m:r>
        <m:r>
          <m:t>e</m:t>
        </m:r>
        <m:r>
          <m:t>d</m:t>
        </m:r>
        <m:r>
          <m:t>t</m:t>
        </m:r>
        <m:r>
          <m:t>o</m:t>
        </m:r>
        <m:r>
          <m:t>c</m:t>
        </m:r>
        <m:r>
          <m:t>o</m:t>
        </m:r>
        <m:r>
          <m:t>n</m:t>
        </m:r>
        <m:r>
          <m:t>t</m:t>
        </m:r>
        <m:r>
          <m:t>r</m:t>
        </m:r>
        <m:r>
          <m:t>i</m:t>
        </m:r>
        <m:r>
          <m:t>b</m:t>
        </m:r>
        <m:r>
          <m:t>u</m:t>
        </m:r>
        <m:r>
          <m:t>t</m:t>
        </m:r>
        <m:r>
          <m:t>e</m:t>
        </m:r>
        <m:r>
          <m:rPr>
            <m:sty m:val="p"/>
          </m:rPr>
          <m:t>*</m:t>
        </m:r>
        <m:r>
          <m:rPr>
            <m:sty m:val="p"/>
          </m:rPr>
          <m:t>*</m:t>
        </m:r>
        <m:r>
          <m:rPr>
            <m:sty m:val="p"/>
          </m:rPr>
          <m:t>&gt;</m:t>
        </m:r>
      </m:oMath>
      <w:r>
        <w:t xml:space="preserve">200M of annual EBITDA** initially (~6x), plus</w:t>
      </w:r>
      <w:r>
        <w:t xml:space="preserve"> </w:t>
      </w:r>
      <w:r>
        <w:rPr>
          <w:b/>
          <w:bCs/>
        </w:rPr>
        <w:t xml:space="preserve">$150M/year of synergies targeted by year-end 2028</w:t>
      </w:r>
      <w:r>
        <w:t xml:space="preserve">. Management calls it immediately accretive.</w:t>
      </w:r>
    </w:p>
    <w:p>
      <w:pPr>
        <w:pStyle w:val="Compact"/>
        <w:numPr>
          <w:ilvl w:val="0"/>
          <w:numId w:val="1001"/>
        </w:numPr>
      </w:pPr>
      <w:r>
        <w:rPr>
          <w:b/>
          <w:bCs/>
        </w:rPr>
        <w:t xml:space="preserve">Strategic punch line:</w:t>
      </w:r>
      <w:r>
        <w:t xml:space="preserve"> </w:t>
      </w:r>
      <w:r>
        <w:t xml:space="preserve">it raises Expand's stated marketing &amp; commercial free-cash-flow target to</w:t>
      </w:r>
      <w:r>
        <w:t xml:space="preserve"> </w:t>
      </w:r>
      <m:oMath>
        <m:r>
          <m:t>750</m:t>
        </m:r>
        <m:r>
          <m:t>M</m:t>
        </m:r>
        <m:r>
          <m:rPr>
            <m:sty m:val="p"/>
          </m:rPr>
          <m:t>/</m:t>
        </m:r>
        <m:r>
          <m:t>y</m:t>
        </m:r>
        <m:r>
          <m:t>e</m:t>
        </m:r>
        <m:r>
          <m:t>a</m:t>
        </m:r>
        <m:r>
          <m:t>r</m:t>
        </m:r>
        <m:r>
          <m:rPr>
            <m:sty m:val="p"/>
          </m:rPr>
          <m:t>,</m:t>
        </m:r>
        <m:r>
          <m:t>a</m:t>
        </m:r>
        <m:r>
          <m:t>50</m:t>
        </m:r>
      </m:oMath>
      <w:r>
        <w:rPr>
          <w:b/>
          <w:bCs/>
        </w:rPr>
        <w:t xml:space="preserve">500M ($0.20/Mcf) goal</w:t>
      </w:r>
      <w:r>
        <w:t xml:space="preserve"> </w:t>
      </w:r>
      <w:r>
        <w:t xml:space="preserve">management had been socializing all year.</w:t>
      </w:r>
    </w:p>
    <w:p>
      <w:pPr>
        <w:pStyle w:val="Compact"/>
        <w:numPr>
          <w:ilvl w:val="0"/>
          <w:numId w:val="1001"/>
        </w:numPr>
      </w:pPr>
      <w:r>
        <w:rPr>
          <w:b/>
          <w:bCs/>
        </w:rPr>
        <w:t xml:space="preserve">Scale added:</w:t>
      </w:r>
      <w:r>
        <w:t xml:space="preserve"> </w:t>
      </w:r>
      <w:r>
        <w:t xml:space="preserve">Twin Eagle markets &gt;5 Bcf/d, manages ~44 Bcf storage and ~2 Bcf/d firm transport, and serves 1,000+ customers. Pro forma the combined platform reaches ~14 Bcf/d marketed, ~9 Bcf/d firm transport and 49 Bcf storage — access to ~90% of the North American gas market.</w:t>
      </w:r>
    </w:p>
    <w:p>
      <w:pPr>
        <w:pStyle w:val="Compact"/>
        <w:numPr>
          <w:ilvl w:val="0"/>
          <w:numId w:val="1001"/>
        </w:numPr>
      </w:pPr>
      <w:r>
        <w:rPr>
          <w:b/>
          <w:bCs/>
        </w:rPr>
        <w:t xml:space="preserve">Continuity risk:</w:t>
      </w:r>
      <w:r>
        <w:t xml:space="preserve"> </w:t>
      </w:r>
      <w:r>
        <w:t xml:space="preserve">key Twin Eagle management (incl. CEO Jeremy Davis) stay on post-close.</w:t>
      </w:r>
    </w:p>
    <w:p>
      <w:pPr>
        <w:pStyle w:val="FirstParagraph"/>
      </w:pPr>
      <w:r>
        <w:rPr>
          <w:b/>
          <w:bCs/>
        </w:rPr>
        <w:t xml:space="preserve">Questions the deal raises for the call:</w:t>
      </w:r>
      <w:r>
        <w:t xml:space="preserve"> </w:t>
      </w:r>
      <w:r>
        <w:t xml:space="preserve">(1) Does adding a trading/marketing book change EXE's risk profile and earnings volatility, and how will they ring-fence it? (2) What does it do to the pristine balance sheet (see below)? (3) Is a marketing multiple the right use of capital vs. buybacks at a depressed stock? (4) How real/repeatable is the $200M EBITDA across gas-price cycles? This is a genuine strategic pivot down the value chain and will be the debate.</w:t>
      </w:r>
    </w:p>
    <w:p>
      <w:r>
        <w:pict>
          <v:rect style="width:0;height:1.5pt" o:hralign="center" o:hrstd="t" o:hr="t"/>
        </w:pict>
      </w:r>
    </w:p>
    <w:bookmarkEnd w:id="10"/>
    <w:bookmarkEnd w:id="11"/>
    <w:bookmarkStart w:id="12" w:name="Xba794e1574e6954fce82fbed59f53d114032188"/>
    <w:p>
      <w:pPr>
        <w:pStyle w:val="Heading2"/>
      </w:pPr>
      <w:r>
        <w:t xml:space="preserve">Setting the scene: where the stock and the story are</w:t>
      </w:r>
    </w:p>
    <w:p>
      <w:pPr>
        <w:pStyle w:val="Compact"/>
        <w:numPr>
          <w:ilvl w:val="0"/>
          <w:numId w:val="1002"/>
        </w:numPr>
      </w:pPr>
      <w:r>
        <w:rPr>
          <w:b/>
          <w:bCs/>
        </w:rPr>
        <w:t xml:space="preserve">Stock:</w:t>
      </w:r>
      <w:r>
        <w:t xml:space="preserve"> </w:t>
      </w:r>
      <w:r>
        <w:t xml:space="preserve">EXE has been a laggard in 2026, roughly</w:t>
      </w:r>
      <w:r>
        <w:t xml:space="preserve"> </w:t>
      </w:r>
      <m:oMath>
        <m:r>
          <m:t>109.77</m:t>
        </m:r>
        <m:r>
          <m:t>t</m:t>
        </m:r>
        <m:r>
          <m:t>o</m:t>
        </m:r>
        <m:r>
          <m:t>s</m:t>
        </m:r>
        <m:r>
          <m:t>t</m:t>
        </m:r>
        <m:r>
          <m:t>a</m:t>
        </m:r>
        <m:r>
          <m:t>r</m:t>
        </m:r>
        <m:r>
          <m:t>t</m:t>
        </m:r>
        <m:r>
          <m:t>t</m:t>
        </m:r>
        <m:r>
          <m:t>h</m:t>
        </m:r>
        <m:r>
          <m:t>e</m:t>
        </m:r>
        <m:r>
          <m:t>y</m:t>
        </m:r>
        <m:r>
          <m:t>e</m:t>
        </m:r>
        <m:r>
          <m:t>a</m:t>
        </m:r>
        <m:r>
          <m:t>r</m:t>
        </m:r>
        <m:r>
          <m:t>d</m:t>
        </m:r>
        <m:r>
          <m:t>o</m:t>
        </m:r>
        <m:r>
          <m:t>w</m:t>
        </m:r>
        <m:r>
          <m:t>n</m:t>
        </m:r>
        <m:r>
          <m:t>t</m:t>
        </m:r>
        <m:r>
          <m:t>o</m:t>
        </m:r>
        <m:r>
          <m:t> </m:t>
        </m:r>
      </m:oMath>
      <w:r>
        <w:t xml:space="preserve">90.53 at 7/27 (≈ -18% YTD), having bottomed near $87 in June before a modest bounce (helped by the mid-July Middle East oil spike, which has since partly unwound as the U.S. paused Iran strikes and crude fell ~5%). The stock is coming into the print near the lower third of its 12-month range — sentiment is cautious.</w:t>
      </w:r>
    </w:p>
    <w:p>
      <w:pPr>
        <w:pStyle w:val="Compact"/>
        <w:numPr>
          <w:ilvl w:val="0"/>
          <w:numId w:val="1002"/>
        </w:numPr>
      </w:pPr>
      <w:r>
        <w:rPr>
          <w:b/>
          <w:bCs/>
        </w:rPr>
        <w:t xml:space="preserve">Leadership in transition:</w:t>
      </w:r>
      <w:r>
        <w:t xml:space="preserve"> </w:t>
      </w:r>
      <w:r>
        <w:t xml:space="preserve">Expand is still run by</w:t>
      </w:r>
      <w:r>
        <w:t xml:space="preserve"> </w:t>
      </w:r>
      <w:r>
        <w:rPr>
          <w:b/>
          <w:bCs/>
        </w:rPr>
        <w:t xml:space="preserve">Interim President/CEO Mike Wichterich</w:t>
      </w:r>
      <w:r>
        <w:t xml:space="preserve">; the permanent CEO search was described last quarter as on track for a Q3/Q4 2026 decision.</w:t>
      </w:r>
      <w:r>
        <w:t xml:space="preserve"> </w:t>
      </w:r>
      <w:r>
        <w:rPr>
          <w:b/>
          <w:bCs/>
        </w:rPr>
        <w:t xml:space="preserve">New CFO Marcel Teunissen</w:t>
      </w:r>
      <w:r>
        <w:t xml:space="preserve"> </w:t>
      </w:r>
      <w:r>
        <w:t xml:space="preserve">(ex-Shell integrated gas) joined ahead of Q1 — this is only his second call, and Twin Eagle fits squarely with the "capture more of the integrated margin" mandate he was hired for. Watch for any CEO-search update.</w:t>
      </w:r>
    </w:p>
    <w:p>
      <w:r>
        <w:pict>
          <v:rect style="width:0;height:1.5pt" o:hralign="center" o:hrstd="t" o:hr="t"/>
        </w:pict>
      </w:r>
    </w:p>
    <w:bookmarkEnd w:id="12"/>
    <w:bookmarkStart w:id="13" w:name="q1-2026-recap-the-baseline-to-beat"/>
    <w:p>
      <w:pPr>
        <w:pStyle w:val="Heading2"/>
      </w:pPr>
      <w:r>
        <w:t xml:space="preserve">Q1 2026 recap (the baseline to beat)</w:t>
      </w:r>
    </w:p>
    <w:p>
      <w:pPr>
        <w:pStyle w:val="FirstParagraph"/>
      </w:pPr>
      <w:r>
        <w:t xml:space="preserve">The prior quarter was strong and sets an easy narrative contrast against seasonally weaker Q2:</w:t>
      </w:r>
    </w:p>
    <w:p>
      <w:pPr>
        <w:pStyle w:val="Compact"/>
        <w:numPr>
          <w:ilvl w:val="0"/>
          <w:numId w:val="1003"/>
        </w:numPr>
      </w:pPr>
      <w:r>
        <w:t xml:space="preserve">Net income</w:t>
      </w:r>
      <w:r>
        <w:t xml:space="preserve"> </w:t>
      </w:r>
      <w:r>
        <w:rPr>
          <w:b/>
          <w:bCs/>
        </w:rPr>
        <w:t xml:space="preserve">$1,159M / $4.81 diluted EPS</w:t>
      </w:r>
      <w:r>
        <w:t xml:space="preserve">; adjusted net income</w:t>
      </w:r>
      <w:r>
        <w:t xml:space="preserve"> </w:t>
      </w:r>
      <m:oMath>
        <m:r>
          <m:t>923</m:t>
        </m:r>
        <m:r>
          <m:t>M</m:t>
        </m:r>
        <m:r>
          <m:rPr>
            <m:sty m:val="p"/>
          </m:rPr>
          <m:t>/</m:t>
        </m:r>
        <m:r>
          <m:rPr>
            <m:sty m:val="p"/>
          </m:rPr>
          <m:t>*</m:t>
        </m:r>
        <m:r>
          <m:rPr>
            <m:sty m:val="p"/>
          </m:rPr>
          <m:t>*</m:t>
        </m:r>
      </m:oMath>
      <w:r>
        <w:t xml:space="preserve">3.83 adj. EPS**</w:t>
      </w:r>
    </w:p>
    <w:p>
      <w:pPr>
        <w:pStyle w:val="Compact"/>
        <w:numPr>
          <w:ilvl w:val="0"/>
          <w:numId w:val="1003"/>
        </w:numPr>
      </w:pPr>
      <w:r>
        <w:rPr>
          <w:b/>
          <w:bCs/>
        </w:rPr>
        <w:t xml:space="preserve">Adjusted EBITDAX $1,968M</w:t>
      </w:r>
      <w:r>
        <w:t xml:space="preserve">; operating cash flow $2,402M;</w:t>
      </w:r>
      <w:r>
        <w:t xml:space="preserve"> </w:t>
      </w:r>
      <w:r>
        <w:rPr>
          <w:b/>
          <w:bCs/>
        </w:rPr>
        <w:t xml:space="preserve">adjusted free cash flow $1,704M</w:t>
      </w:r>
    </w:p>
    <w:p>
      <w:pPr>
        <w:pStyle w:val="Compact"/>
        <w:numPr>
          <w:ilvl w:val="0"/>
          <w:numId w:val="1003"/>
        </w:numPr>
      </w:pPr>
      <w:r>
        <w:t xml:space="preserve">Production</w:t>
      </w:r>
      <w:r>
        <w:t xml:space="preserve"> </w:t>
      </w:r>
      <w:r>
        <w:rPr>
          <w:b/>
          <w:bCs/>
        </w:rPr>
        <w:t xml:space="preserve">~7.44 Bcfe/d (93% gas)</w:t>
      </w:r>
      <w:r>
        <w:t xml:space="preserve">; realized gas price incl. derivatives $4.28/Mcf (NYMEX avg $5.04)</w:t>
      </w:r>
    </w:p>
    <w:p>
      <w:pPr>
        <w:pStyle w:val="Compact"/>
        <w:numPr>
          <w:ilvl w:val="0"/>
          <w:numId w:val="1003"/>
        </w:numPr>
      </w:pPr>
      <w:r>
        <w:t xml:space="preserve">**Net debt cut to $2.8B from</w:t>
      </w:r>
      <w:r>
        <w:t xml:space="preserve"> </w:t>
      </w:r>
      <m:oMath>
        <m:r>
          <m:t>4.4</m:t>
        </m:r>
        <m:r>
          <m:t>B</m:t>
        </m:r>
        <m:r>
          <m:rPr>
            <m:sty m:val="p"/>
          </m:rPr>
          <m:t>*</m:t>
        </m:r>
        <m:r>
          <m:rPr>
            <m:sty m:val="p"/>
          </m:rPr>
          <m:t>*</m:t>
        </m:r>
        <m:r>
          <m:t>a</m:t>
        </m:r>
        <m:r>
          <m:t>t</m:t>
        </m:r>
        <m:r>
          <m:t>Y</m:t>
        </m:r>
        <m:r>
          <m:t>E</m:t>
        </m:r>
        <m:r>
          <m:t>25</m:t>
        </m:r>
        <m:r>
          <m:rPr>
            <m:sty m:val="p"/>
          </m:rPr>
          <m:t>;</m:t>
        </m:r>
        <m:r>
          <m:t>t</m:t>
        </m:r>
        <m:r>
          <m:t>o</m:t>
        </m:r>
        <m:r>
          <m:t>t</m:t>
        </m:r>
        <m:r>
          <m:t>a</m:t>
        </m:r>
        <m:r>
          <m:t>l</m:t>
        </m:r>
        <m:r>
          <m:t>d</m:t>
        </m:r>
        <m:r>
          <m:t>e</m:t>
        </m:r>
        <m:r>
          <m:t>b</m:t>
        </m:r>
        <m:r>
          <m:t>t</m:t>
        </m:r>
        <m:r>
          <m:t> </m:t>
        </m:r>
      </m:oMath>
      <w:r>
        <w:t xml:space="preserve">5.0B;</w:t>
      </w:r>
      <w:r>
        <w:t xml:space="preserve"> </w:t>
      </w:r>
      <w:r>
        <w:rPr>
          <w:b/>
          <w:bCs/>
        </w:rPr>
        <w:t xml:space="preserve">$2.2B cash on hand</w:t>
      </w:r>
    </w:p>
    <w:p>
      <w:pPr>
        <w:pStyle w:val="Compact"/>
        <w:numPr>
          <w:ilvl w:val="0"/>
          <w:numId w:val="1003"/>
        </w:numPr>
      </w:pPr>
      <w:r>
        <w:t xml:space="preserve">Returned ~$290M+ via dividend + buybacks;</w:t>
      </w:r>
      <w:r>
        <w:t xml:space="preserve"> </w:t>
      </w:r>
      <m:oMath>
        <m:r>
          <m:t>150</m:t>
        </m:r>
        <m:r>
          <m:t>M</m:t>
        </m:r>
        <m:r>
          <m:t>o</m:t>
        </m:r>
        <m:r>
          <m:t>f</m:t>
        </m:r>
        <m:r>
          <m:t>s</m:t>
        </m:r>
        <m:r>
          <m:t>t</m:t>
        </m:r>
        <m:r>
          <m:t>o</m:t>
        </m:r>
        <m:r>
          <m:t>c</m:t>
        </m:r>
        <m:r>
          <m:t>k</m:t>
        </m:r>
        <m:r>
          <m:t>r</m:t>
        </m:r>
        <m:r>
          <m:t>e</m:t>
        </m:r>
        <m:r>
          <m:t>p</m:t>
        </m:r>
        <m:r>
          <m:t>u</m:t>
        </m:r>
        <m:r>
          <m:t>r</m:t>
        </m:r>
        <m:r>
          <m:t>c</m:t>
        </m:r>
        <m:r>
          <m:t>h</m:t>
        </m:r>
        <m:r>
          <m:t>a</m:t>
        </m:r>
        <m:r>
          <m:t>s</m:t>
        </m:r>
        <m:r>
          <m:t>e</m:t>
        </m:r>
        <m:r>
          <m:t>d</m:t>
        </m:r>
        <m:r>
          <m:rPr>
            <m:sty m:val="p"/>
          </m:rPr>
          <m:t>;</m:t>
        </m:r>
        <m:r>
          <m:t>b</m:t>
        </m:r>
        <m:r>
          <m:t>a</m:t>
        </m:r>
        <m:r>
          <m:t>s</m:t>
        </m:r>
        <m:r>
          <m:t>e</m:t>
        </m:r>
        <m:r>
          <m:t>d</m:t>
        </m:r>
        <m:r>
          <m:t>i</m:t>
        </m:r>
        <m:r>
          <m:t>v</m:t>
        </m:r>
        <m:r>
          <m:t>i</m:t>
        </m:r>
        <m:r>
          <m:t>d</m:t>
        </m:r>
        <m:r>
          <m:t>e</m:t>
        </m:r>
        <m:r>
          <m:t>n</m:t>
        </m:r>
        <m:r>
          <m:t>d</m:t>
        </m:r>
        <m:r>
          <m:rPr>
            <m:sty m:val="p"/>
          </m:rPr>
          <m:t>*</m:t>
        </m:r>
        <m:r>
          <m:rPr>
            <m:sty m:val="p"/>
          </m:rPr>
          <m:t>*</m:t>
        </m:r>
      </m:oMath>
      <w:r>
        <w:t xml:space="preserve">0.575/qtr** (~2.5% yield)</w:t>
      </w:r>
    </w:p>
    <w:p>
      <w:r>
        <w:pict>
          <v:rect style="width:0;height:1.5pt" o:hralign="center" o:hrstd="t" o:hr="t"/>
        </w:pict>
      </w:r>
    </w:p>
    <w:bookmarkEnd w:id="13"/>
    <w:bookmarkStart w:id="14" w:name="what-to-watch-in-the-q2-print-itself"/>
    <w:p>
      <w:pPr>
        <w:pStyle w:val="Heading2"/>
      </w:pPr>
      <w:r>
        <w:t xml:space="preserve">What to watch in the Q2 print itself</w:t>
      </w:r>
    </w:p>
    <w:p>
      <w:pPr>
        <w:pStyle w:val="FirstParagraph"/>
      </w:pPr>
      <w:r>
        <w:rPr>
          <w:b/>
          <w:bCs/>
        </w:rPr>
        <w:t xml:space="preserve">1) Sequentially weaker realizations, front-loaded capex.</w:t>
      </w:r>
      <w:r>
        <w:t xml:space="preserve"> </w:t>
      </w:r>
      <w:r>
        <w:t xml:space="preserve">Management guided that</w:t>
      </w:r>
      <w:r>
        <w:t xml:space="preserve"> </w:t>
      </w:r>
      <w:r>
        <w:rPr>
          <w:b/>
          <w:bCs/>
        </w:rPr>
        <w:t xml:space="preserve">Q2 would be the high-water mark for 2026 capex</w:t>
      </w:r>
      <w:r>
        <w:t xml:space="preserve"> </w:t>
      </w:r>
      <w:r>
        <w:t xml:space="preserve">(more front-end-loaded D&amp;C, leasehold closings, and higher spring workover activity), while Q2 volumes were expected to be roughly flat vs. Q1. Against a soft spring-shoulder gas tape, that combination means</w:t>
      </w:r>
      <w:r>
        <w:t xml:space="preserve"> </w:t>
      </w:r>
      <w:r>
        <w:rPr>
          <w:b/>
          <w:bCs/>
        </w:rPr>
        <w:t xml:space="preserve">Q2 free cash flow should step down meaningfully from Q1's $1.7B</w:t>
      </w:r>
      <w:r>
        <w:t xml:space="preserve"> </w:t>
      </w:r>
      <w:r>
        <w:t xml:space="preserve">— this is expected, so the reaction hinges on guidance and Twin Eagle, not the headline.</w:t>
      </w:r>
    </w:p>
    <w:p>
      <w:pPr>
        <w:pStyle w:val="BodyText"/>
      </w:pPr>
      <w:r>
        <w:rPr>
          <w:b/>
          <w:bCs/>
        </w:rPr>
        <w:t xml:space="preserve">2) Full-year guidance intact?</w:t>
      </w:r>
      <w:r>
        <w:t xml:space="preserve"> </w:t>
      </w:r>
      <w:r>
        <w:t xml:space="preserve">Watch for reaffirmation of **~7.5 Bcfe/d production and ~</w:t>
      </w:r>
      <m:oMath>
        <m:r>
          <m:t>2.85</m:t>
        </m:r>
        <m:r>
          <m:t>B</m:t>
        </m:r>
        <m:r>
          <m:t>c</m:t>
        </m:r>
        <m:r>
          <m:t>a</m:t>
        </m:r>
        <m:r>
          <m:t>p</m:t>
        </m:r>
        <m:r>
          <m:t>e</m:t>
        </m:r>
        <m:r>
          <m:t>x</m:t>
        </m:r>
        <m:r>
          <m:rPr>
            <m:sty m:val="p"/>
          </m:rPr>
          <m:t>(</m:t>
        </m:r>
        <m:r>
          <m:t>11</m:t>
        </m:r>
        <m:r>
          <m:rPr>
            <m:sty m:val="p"/>
          </m:rPr>
          <m:t>–</m:t>
        </m:r>
        <m:r>
          <m:t>12</m:t>
        </m:r>
        <m:r>
          <m:t>r</m:t>
        </m:r>
        <m:r>
          <m:t>i</m:t>
        </m:r>
        <m:r>
          <m:t>g</m:t>
        </m:r>
        <m:r>
          <m:t>s</m:t>
        </m:r>
        <m:r>
          <m:rPr>
            <m:sty m:val="p"/>
          </m:rPr>
          <m:t>)</m:t>
        </m:r>
        <m:r>
          <m:rPr>
            <m:sty m:val="p"/>
          </m:rPr>
          <m:t>*</m:t>
        </m:r>
        <m:r>
          <m:rPr>
            <m:sty m:val="p"/>
          </m:rPr>
          <m:t>*</m:t>
        </m:r>
        <m:r>
          <m:rPr>
            <m:sty m:val="p"/>
          </m:rPr>
          <m:t>.</m:t>
        </m:r>
        <m:r>
          <m:t>A</m:t>
        </m:r>
        <m:r>
          <m:t>n</m:t>
        </m:r>
        <m:r>
          <m:t>y</m:t>
        </m:r>
        <m:r>
          <m:t>t</m:t>
        </m:r>
        <m:r>
          <m:t>r</m:t>
        </m:r>
        <m:r>
          <m:t>i</m:t>
        </m:r>
        <m:r>
          <m:t>m</m:t>
        </m:r>
        <m:r>
          <m:t>m</m:t>
        </m:r>
        <m:r>
          <m:t>i</m:t>
        </m:r>
        <m:r>
          <m:t>n</m:t>
        </m:r>
        <m:r>
          <m:t>g</m:t>
        </m:r>
        <m:r>
          <m:t>o</m:t>
        </m:r>
        <m:r>
          <m:t>f</m:t>
        </m:r>
        <m:r>
          <m:t>a</m:t>
        </m:r>
        <m:r>
          <m:t>c</m:t>
        </m:r>
        <m:r>
          <m:t>t</m:t>
        </m:r>
        <m:r>
          <m:t>i</m:t>
        </m:r>
        <m:r>
          <m:t>v</m:t>
        </m:r>
        <m:r>
          <m:t>i</m:t>
        </m:r>
        <m:r>
          <m:t>t</m:t>
        </m:r>
        <m:r>
          <m:t>y</m:t>
        </m:r>
        <m:r>
          <m:t>w</m:t>
        </m:r>
        <m:r>
          <m:t>o</m:t>
        </m:r>
        <m:r>
          <m:t>u</m:t>
        </m:r>
        <m:r>
          <m:t>l</m:t>
        </m:r>
        <m:r>
          <m:t>d</m:t>
        </m:r>
        <m:r>
          <m:t>b</m:t>
        </m:r>
        <m:r>
          <m:t>e</m:t>
        </m:r>
        <m:r>
          <m:t>a</m:t>
        </m:r>
        <m:r>
          <m:t>t</m:t>
        </m:r>
        <m:r>
          <m:t>e</m:t>
        </m:r>
        <m:r>
          <m:t>l</m:t>
        </m:r>
        <m:r>
          <m:t>l</m:t>
        </m:r>
        <m:r>
          <m:rPr>
            <m:sty m:val="p"/>
          </m:rPr>
          <m:t>:</m:t>
        </m:r>
        <m:r>
          <m:t>m</m:t>
        </m:r>
        <m:r>
          <m:t>a</m:t>
        </m:r>
        <m:r>
          <m:t>n</m:t>
        </m:r>
        <m:r>
          <m:t>a</m:t>
        </m:r>
        <m:r>
          <m:t>g</m:t>
        </m:r>
        <m:r>
          <m:t>e</m:t>
        </m:r>
        <m:r>
          <m:t>m</m:t>
        </m:r>
        <m:r>
          <m:t>e</m:t>
        </m:r>
        <m:r>
          <m:t>n</m:t>
        </m:r>
        <m:r>
          <m:t>t</m:t>
        </m:r>
        <m:r>
          <m:t>s</m:t>
        </m:r>
        <m:r>
          <m:t>a</m:t>
        </m:r>
        <m:r>
          <m:t>i</m:t>
        </m:r>
        <m:r>
          <m:t>d</m:t>
        </m:r>
        <m:r>
          <m:t>t</m:t>
        </m:r>
        <m:r>
          <m:t>h</m:t>
        </m:r>
        <m:r>
          <m:t>e</m:t>
        </m:r>
        <m:r>
          <m:t>7.5</m:t>
        </m:r>
        <m:r>
          <m:t>B</m:t>
        </m:r>
        <m:r>
          <m:t>c</m:t>
        </m:r>
        <m:r>
          <m:t>f</m:t>
        </m:r>
        <m:r>
          <m:rPr>
            <m:sty m:val="p"/>
          </m:rPr>
          <m:t>/</m:t>
        </m:r>
        <m:r>
          <m:t>d</m:t>
        </m:r>
        <m:r>
          <m:t>p</m:t>
        </m:r>
        <m:r>
          <m:t>l</m:t>
        </m:r>
        <m:r>
          <m:t>a</m:t>
        </m:r>
        <m:r>
          <m:t>n</m:t>
        </m:r>
        <m:r>
          <m:t>a</m:t>
        </m:r>
        <m:r>
          <m:t>s</m:t>
        </m:r>
        <m:r>
          <m:t>s</m:t>
        </m:r>
        <m:r>
          <m:t>u</m:t>
        </m:r>
        <m:r>
          <m:t>m</m:t>
        </m:r>
        <m:r>
          <m:t>e</m:t>
        </m:r>
        <m:r>
          <m:t>s</m:t>
        </m:r>
        <m:r>
          <m:t>a</m:t>
        </m:r>
        <m:r>
          <m:t> </m:t>
        </m:r>
      </m:oMath>
      <w:r>
        <w:t xml:space="preserve">3.50–</w:t>
      </w:r>
      <m:oMath>
        <m:r>
          <m:t>4.00</m:t>
        </m:r>
        <m:r>
          <m:t>m</m:t>
        </m:r>
        <m:r>
          <m:t>i</m:t>
        </m:r>
        <m:r>
          <m:t>d</m:t>
        </m:r>
        <m:r>
          <m:rPr>
            <m:sty m:val="p"/>
          </m:rPr>
          <m:t>−</m:t>
        </m:r>
        <m:r>
          <m:t>c</m:t>
        </m:r>
        <m:r>
          <m:t>y</m:t>
        </m:r>
        <m:r>
          <m:t>c</m:t>
        </m:r>
        <m:r>
          <m:t>l</m:t>
        </m:r>
        <m:r>
          <m:t>e</m:t>
        </m:r>
        <m:r>
          <m:t>p</m:t>
        </m:r>
        <m:r>
          <m:t>r</m:t>
        </m:r>
        <m:r>
          <m:t>i</m:t>
        </m:r>
        <m:r>
          <m:t>c</m:t>
        </m:r>
        <m:r>
          <m:t>e</m:t>
        </m:r>
        <m:r>
          <m:t>a</m:t>
        </m:r>
        <m:r>
          <m:t>n</m:t>
        </m:r>
        <m:r>
          <m:t>d</m:t>
        </m:r>
        <m:r>
          <m:t>t</m:t>
        </m:r>
        <m:r>
          <m:t>h</m:t>
        </m:r>
        <m:r>
          <m:t>a</m:t>
        </m:r>
        <m:r>
          <m:t>t</m:t>
        </m:r>
        <m:r>
          <m:t>t</m:t>
        </m:r>
        <m:r>
          <m:t>h</m:t>
        </m:r>
        <m:r>
          <m:t>e</m:t>
        </m:r>
        <m:sSup>
          <m:e>
            <m:r>
              <m:t>y</m:t>
            </m:r>
          </m:e>
          <m:sup>
            <m:r>
              <m:rPr>
                <m:sty m:val="p"/>
              </m:rPr>
              <m:t>′</m:t>
            </m:r>
          </m:sup>
        </m:sSup>
        <m:r>
          <m:t>l</m:t>
        </m:r>
        <m:r>
          <m:t>l</m:t>
        </m:r>
        <m:r>
          <m:t>d</m:t>
        </m:r>
        <m:r>
          <m:t>e</m:t>
        </m:r>
        <m:r>
          <m:t>f</m:t>
        </m:r>
        <m:r>
          <m:t>e</m:t>
        </m:r>
        <m:r>
          <m:t>r</m:t>
        </m:r>
        <m:r>
          <m:t>T</m:t>
        </m:r>
        <m:r>
          <m:t>I</m:t>
        </m:r>
        <m:r>
          <m:t>L</m:t>
        </m:r>
        <m:r>
          <m:t>s</m:t>
        </m:r>
        <m:r>
          <m:rPr>
            <m:sty m:val="p"/>
          </m:rPr>
          <m:t>/</m:t>
        </m:r>
        <m:r>
          <m:t>c</m:t>
        </m:r>
        <m:r>
          <m:t>o</m:t>
        </m:r>
        <m:r>
          <m:t>m</m:t>
        </m:r>
        <m:r>
          <m:t>p</m:t>
        </m:r>
        <m:r>
          <m:t>l</m:t>
        </m:r>
        <m:r>
          <m:t>e</m:t>
        </m:r>
        <m:r>
          <m:t>t</m:t>
        </m:r>
        <m:r>
          <m:t>i</m:t>
        </m:r>
        <m:r>
          <m:t>o</m:t>
        </m:r>
        <m:r>
          <m:t>n</m:t>
        </m:r>
        <m:r>
          <m:t>s</m:t>
        </m:r>
        <m:r>
          <m:t>i</m:t>
        </m:r>
        <m:r>
          <m:t>f</m:t>
        </m:r>
        <m:r>
          <m:t>t</m:t>
        </m:r>
        <m:r>
          <m:t>h</m:t>
        </m:r>
        <m:r>
          <m:t>e</m:t>
        </m:r>
        <m:r>
          <m:t>s</m:t>
        </m:r>
        <m:r>
          <m:t>t</m:t>
        </m:r>
        <m:r>
          <m:t>r</m:t>
        </m:r>
        <m:r>
          <m:t>i</m:t>
        </m:r>
        <m:r>
          <m:t>p</m:t>
        </m:r>
        <m:r>
          <m:t>w</m:t>
        </m:r>
        <m:r>
          <m:t>e</m:t>
        </m:r>
        <m:r>
          <m:t>a</m:t>
        </m:r>
        <m:r>
          <m:t>k</m:t>
        </m:r>
        <m:r>
          <m:t>e</m:t>
        </m:r>
        <m:r>
          <m:t>n</m:t>
        </m:r>
        <m:r>
          <m:t>s</m:t>
        </m:r>
        <m:r>
          <m:rPr>
            <m:sty m:val="p"/>
          </m:rPr>
          <m:t>—</m:t>
        </m:r>
        <m:r>
          <m:t>w</m:t>
        </m:r>
        <m:r>
          <m:t>i</m:t>
        </m:r>
        <m:r>
          <m:t>t</m:t>
        </m:r>
        <m:r>
          <m:t>h</m:t>
        </m:r>
        <m:r>
          <m:t>t</m:t>
        </m:r>
        <m:r>
          <m:t>h</m:t>
        </m:r>
        <m:r>
          <m:t>e</m:t>
        </m:r>
        <m:r>
          <m:t>2027</m:t>
        </m:r>
        <m:r>
          <m:t>s</m:t>
        </m:r>
        <m:r>
          <m:t>t</m:t>
        </m:r>
        <m:r>
          <m:t>r</m:t>
        </m:r>
        <m:r>
          <m:t>i</m:t>
        </m:r>
        <m:r>
          <m:t>p</m:t>
        </m:r>
        <m:r>
          <m:t>h</m:t>
        </m:r>
        <m:r>
          <m:t>a</m:t>
        </m:r>
        <m:r>
          <m:t>v</m:t>
        </m:r>
        <m:r>
          <m:t>i</m:t>
        </m:r>
        <m:r>
          <m:t>n</m:t>
        </m:r>
        <m:r>
          <m:t>g</m:t>
        </m:r>
        <m:r>
          <m:t>d</m:t>
        </m:r>
        <m:r>
          <m:t>r</m:t>
        </m:r>
        <m:r>
          <m:t>i</m:t>
        </m:r>
        <m:r>
          <m:t>f</m:t>
        </m:r>
        <m:r>
          <m:t>t</m:t>
        </m:r>
        <m:r>
          <m:t>e</m:t>
        </m:r>
        <m:r>
          <m:t>d</m:t>
        </m:r>
        <m:r>
          <m:t>t</m:t>
        </m:r>
        <m:r>
          <m:t>o</m:t>
        </m:r>
        <m:r>
          <m:t>w</m:t>
        </m:r>
        <m:r>
          <m:t>a</m:t>
        </m:r>
        <m:r>
          <m:t>r</m:t>
        </m:r>
        <m:r>
          <m:t>d</m:t>
        </m:r>
        <m:r>
          <m:t>t</m:t>
        </m:r>
        <m:r>
          <m:t>h</m:t>
        </m:r>
        <m:r>
          <m:t>e</m:t>
        </m:r>
        <m:r>
          <m:t>m</m:t>
        </m:r>
        <m:r>
          <m:t>i</m:t>
        </m:r>
        <m:r>
          <m:t>d</m:t>
        </m:r>
        <m:r>
          <m:rPr>
            <m:sty m:val="p"/>
          </m:rPr>
          <m:t>−</m:t>
        </m:r>
      </m:oMath>
      <w:r>
        <w:t xml:space="preserve">3s, questions about 2027 activity/DPC are likely.</w:t>
      </w:r>
    </w:p>
    <w:p>
      <w:pPr>
        <w:pStyle w:val="BodyText"/>
      </w:pPr>
      <w:r>
        <w:rPr>
          <w:b/>
          <w:bCs/>
        </w:rPr>
        <w:t xml:space="preserve">3) Capital allocation now that the debt goal is hit.</w:t>
      </w:r>
      <w:r>
        <w:t xml:space="preserve"> </w:t>
      </w:r>
      <w:r>
        <w:t xml:space="preserve">Having already redeemed ~</w:t>
      </w:r>
      <m:oMath>
        <m:r>
          <m:t>1.3</m:t>
        </m:r>
        <m:r>
          <m:t>B</m:t>
        </m:r>
        <m:r>
          <m:t>o</m:t>
        </m:r>
        <m:r>
          <m:t>f</m:t>
        </m:r>
        <m:r>
          <m:t>g</m:t>
        </m:r>
        <m:r>
          <m:t>r</m:t>
        </m:r>
        <m:r>
          <m:t>o</m:t>
        </m:r>
        <m:r>
          <m:t>s</m:t>
        </m:r>
        <m:r>
          <m:t>s</m:t>
        </m:r>
        <m:r>
          <m:t>d</m:t>
        </m:r>
        <m:r>
          <m:t>e</m:t>
        </m:r>
        <m:r>
          <m:t>b</m:t>
        </m:r>
        <m:r>
          <m:t>t</m:t>
        </m:r>
        <m:r>
          <m:t>i</m:t>
        </m:r>
        <m:r>
          <m:t>n</m:t>
        </m:r>
        <m:r>
          <m:t>A</m:t>
        </m:r>
        <m:r>
          <m:t>p</m:t>
        </m:r>
        <m:r>
          <m:t>r</m:t>
        </m:r>
        <m:r>
          <m:t>i</m:t>
        </m:r>
        <m:r>
          <m:t>l</m:t>
        </m:r>
        <m:r>
          <m:rPr>
            <m:sty m:val="p"/>
          </m:rPr>
          <m:t>(</m:t>
        </m:r>
        <m:r>
          <m:t>s</m:t>
        </m:r>
        <m:r>
          <m:t>a</m:t>
        </m:r>
        <m:r>
          <m:t>t</m:t>
        </m:r>
        <m:r>
          <m:t>i</m:t>
        </m:r>
        <m:r>
          <m:t>s</m:t>
        </m:r>
        <m:r>
          <m:t>f</m:t>
        </m:r>
        <m:r>
          <m:t>y</m:t>
        </m:r>
        <m:r>
          <m:t>i</m:t>
        </m:r>
        <m:r>
          <m:t>n</m:t>
        </m:r>
        <m:r>
          <m:t>g</m:t>
        </m:r>
        <m:r>
          <m:t>t</m:t>
        </m:r>
        <m:r>
          <m:t>h</m:t>
        </m:r>
        <m:r>
          <m:t>e</m:t>
        </m:r>
        <m:r>
          <m:rPr>
            <m:sty m:val="p"/>
          </m:rPr>
          <m:t>≥</m:t>
        </m:r>
      </m:oMath>
      <w:r>
        <w:t xml:space="preserve">1B FY commitment), the CFO signaled a</w:t>
      </w:r>
      <w:r>
        <w:t xml:space="preserve"> </w:t>
      </w:r>
      <w:r>
        <w:rPr>
          <w:b/>
          <w:bCs/>
        </w:rPr>
        <w:t xml:space="preserve">rebalancing toward buybacks/shareholder returns</w:t>
      </w:r>
      <w:r>
        <w:t xml:space="preserve"> </w:t>
      </w:r>
      <w:r>
        <w:t xml:space="preserve">for the rest of the year. But Twin Eagle's $1.25B cash-and-revolver funding cuts against that — reconciling "peer-leading leverage / stay investment grade through cycle" with a new $1.25B outlay and continued buybacks is the key balance-sheet question.</w:t>
      </w:r>
    </w:p>
    <w:p>
      <w:pPr>
        <w:pStyle w:val="BodyText"/>
      </w:pPr>
      <w:r>
        <w:rPr>
          <w:b/>
          <w:bCs/>
        </w:rPr>
        <w:t xml:space="preserve">4) Marketing &amp; commercial progress.</w:t>
      </w:r>
      <w:r>
        <w:t xml:space="preserve"> </w:t>
      </w:r>
      <w:r>
        <w:t xml:space="preserve">Last quarter management pointed to ~$90M of incremental value from monetizing volatility in Q1 alone and a three-pronged plan (premium markets, monetizing volatility, facilitating new demand). Twin Eagle supercharges this bucket — look for updated framing on the path to the new $750M/yr target and how much is "now" vs. multi-year.</w:t>
      </w:r>
    </w:p>
    <w:p>
      <w:pPr>
        <w:pStyle w:val="BodyText"/>
      </w:pPr>
      <w:r>
        <w:rPr>
          <w:b/>
          <w:bCs/>
        </w:rPr>
        <w:t xml:space="preserve">5) LNG / demand pipeline.</w:t>
      </w:r>
      <w:r>
        <w:t xml:space="preserve"> </w:t>
      </w:r>
      <w:r>
        <w:t xml:space="preserve">Follow-ups likely on the 20-year Delfin FLNG Vessel 1 SPA (~1.15 mtpa, ~2031 start), the Delfin "gas supply manager" negotiation, and power/data-center demand in the Haynesville and NE Pennsylvania.</w:t>
      </w:r>
    </w:p>
    <w:p>
      <w:pPr>
        <w:pStyle w:val="BodyText"/>
      </w:pPr>
      <w:r>
        <w:rPr>
          <w:b/>
          <w:bCs/>
        </w:rPr>
        <w:t xml:space="preserve">6) Western Haynesville appraisal.</w:t>
      </w:r>
      <w:r>
        <w:t xml:space="preserve"> </w:t>
      </w:r>
      <w:r>
        <w:t xml:space="preserve">Early results from the first well were "encouraging"; a second well ~15 miles north was recently spud. Any hard data on well cost/productivity would be an incremental catalyst.</w:t>
      </w:r>
    </w:p>
    <w:p>
      <w:r>
        <w:pict>
          <v:rect style="width:0;height:1.5pt" o:hralign="center" o:hrstd="t" o:hr="t"/>
        </w:pict>
      </w:r>
    </w:p>
    <w:bookmarkEnd w:id="14"/>
    <w:bookmarkStart w:id="15" w:name="bottom-line-for-investors"/>
    <w:p>
      <w:pPr>
        <w:pStyle w:val="Heading2"/>
      </w:pPr>
      <w:r>
        <w:t xml:space="preserve">Bottom line for investors</w:t>
      </w:r>
    </w:p>
    <w:p>
      <w:pPr>
        <w:pStyle w:val="FirstParagraph"/>
      </w:pPr>
      <w:r>
        <w:t xml:space="preserve">Expand comes into Q2 with a</w:t>
      </w:r>
      <w:r>
        <w:t xml:space="preserve"> </w:t>
      </w:r>
      <w:r>
        <w:rPr>
          <w:b/>
          <w:bCs/>
        </w:rPr>
        <w:t xml:space="preserve">de-risked balance sheet, reaffirmed operations, and a seasonally soft-but-expected quarter</w:t>
      </w:r>
      <w:r>
        <w:t xml:space="preserve"> </w:t>
      </w:r>
      <w:r>
        <w:t xml:space="preserve">— but the story has been overtaken by the</w:t>
      </w:r>
      <w:r>
        <w:t xml:space="preserve"> </w:t>
      </w:r>
      <w:r>
        <w:rPr>
          <w:b/>
          <w:bCs/>
        </w:rPr>
        <w:t xml:space="preserve">Twin Eagle acquisition</w:t>
      </w:r>
      <w:r>
        <w:t xml:space="preserve">, which moves the company decisively into integrated gas marketing and raises the commercial FCF target by 50% to</w:t>
      </w:r>
      <w:r>
        <w:t xml:space="preserve"> </w:t>
      </w:r>
      <m:oMath>
        <m:r>
          <m:t>750</m:t>
        </m:r>
        <m:r>
          <m:t>M</m:t>
        </m:r>
        <m:r>
          <m:rPr>
            <m:sty m:val="p"/>
          </m:rPr>
          <m:t>/</m:t>
        </m:r>
        <m:r>
          <m:t>y</m:t>
        </m:r>
        <m:r>
          <m:t>r</m:t>
        </m:r>
        <m:r>
          <m:rPr>
            <m:sty m:val="p"/>
          </m:rPr>
          <m:t>.</m:t>
        </m:r>
        <m:r>
          <m:t>T</m:t>
        </m:r>
        <m:r>
          <m:t>h</m:t>
        </m:r>
        <m:r>
          <m:t>e</m:t>
        </m:r>
        <m:r>
          <m:t>d</m:t>
        </m:r>
        <m:r>
          <m:t>e</m:t>
        </m:r>
        <m:r>
          <m:t>b</m:t>
        </m:r>
        <m:r>
          <m:t>a</m:t>
        </m:r>
        <m:r>
          <m:t>t</m:t>
        </m:r>
        <m:r>
          <m:t>e</m:t>
        </m:r>
        <m:r>
          <m:t>w</m:t>
        </m:r>
        <m:r>
          <m:t>i</m:t>
        </m:r>
        <m:r>
          <m:t>l</m:t>
        </m:r>
        <m:r>
          <m:t>l</m:t>
        </m:r>
        <m:r>
          <m:t>c</m:t>
        </m:r>
        <m:r>
          <m:t>e</m:t>
        </m:r>
        <m:r>
          <m:t>n</m:t>
        </m:r>
        <m:r>
          <m:t>t</m:t>
        </m:r>
        <m:r>
          <m:t>e</m:t>
        </m:r>
        <m:r>
          <m:t>r</m:t>
        </m:r>
        <m:r>
          <m:t>o</m:t>
        </m:r>
        <m:r>
          <m:t>n</m:t>
        </m:r>
        <m:r>
          <m:t>s</m:t>
        </m:r>
        <m:r>
          <m:t>t</m:t>
        </m:r>
        <m:r>
          <m:t>r</m:t>
        </m:r>
        <m:r>
          <m:t>a</m:t>
        </m:r>
        <m:r>
          <m:t>t</m:t>
        </m:r>
        <m:r>
          <m:t>e</m:t>
        </m:r>
        <m:r>
          <m:t>g</m:t>
        </m:r>
        <m:r>
          <m:t>y</m:t>
        </m:r>
        <m:r>
          <m:rPr>
            <m:sty m:val="p"/>
          </m:rPr>
          <m:t>(</m:t>
        </m:r>
        <m:r>
          <m:t>i</m:t>
        </m:r>
        <m:r>
          <m:t>s</m:t>
        </m:r>
        <m:r>
          <m:t>d</m:t>
        </m:r>
        <m:r>
          <m:t>o</m:t>
        </m:r>
        <m:r>
          <m:t>w</m:t>
        </m:r>
        <m:r>
          <m:t>n</m:t>
        </m:r>
        <m:r>
          <m:t>s</m:t>
        </m:r>
        <m:r>
          <m:t>t</m:t>
        </m:r>
        <m:r>
          <m:t>r</m:t>
        </m:r>
        <m:r>
          <m:t>e</m:t>
        </m:r>
        <m:r>
          <m:t>a</m:t>
        </m:r>
        <m:r>
          <m:t>m</m:t>
        </m:r>
        <m:r>
          <m:t>m</m:t>
        </m:r>
        <m:r>
          <m:t>a</m:t>
        </m:r>
        <m:r>
          <m:t>r</m:t>
        </m:r>
        <m:r>
          <m:t>k</m:t>
        </m:r>
        <m:r>
          <m:t>e</m:t>
        </m:r>
        <m:r>
          <m:t>t</m:t>
        </m:r>
        <m:r>
          <m:t>i</m:t>
        </m:r>
        <m:r>
          <m:t>n</m:t>
        </m:r>
        <m:r>
          <m:t>g</m:t>
        </m:r>
        <m:r>
          <m:t>t</m:t>
        </m:r>
        <m:r>
          <m:t>h</m:t>
        </m:r>
        <m:r>
          <m:t>e</m:t>
        </m:r>
        <m:r>
          <m:t>b</m:t>
        </m:r>
        <m:r>
          <m:t>e</m:t>
        </m:r>
        <m:r>
          <m:t>s</m:t>
        </m:r>
        <m:r>
          <m:t>t</m:t>
        </m:r>
        <m:r>
          <m:t>u</m:t>
        </m:r>
        <m:r>
          <m:t>s</m:t>
        </m:r>
        <m:r>
          <m:t>e</m:t>
        </m:r>
        <m:r>
          <m:t>o</m:t>
        </m:r>
        <m:r>
          <m:t>f</m:t>
        </m:r>
        <m:r>
          <m:t> </m:t>
        </m:r>
      </m:oMath>
      <w:r>
        <w:t xml:space="preserve">1.25B?), risk profile (adding a trading book), and capital allocation (deal + buybacks vs. the balance sheet), all against a leadership team still without a permanent CEO. Watch guidance reaffirmation, the buyback/leverage trade-off, and management's ability to make the Twin Eagle math (&gt;$200M EBITDA, $150M synergies) credible across the gas-price cycle. Given the stock's ~18% YTD underperformance, expectations are modest — the reaction will likely be driven more by the Twin Eagle reception and 2027 activity commentary than by the Q2 numbers.</w:t>
      </w:r>
    </w:p>
    <w:p>
      <w:r>
        <w:pict>
          <v:rect style="width:0;height:1.5pt" o:hralign="center" o:hrstd="t" o:hr="t"/>
        </w:pict>
      </w:r>
    </w:p>
    <w:p>
      <w:pPr>
        <w:pStyle w:val="FirstParagraph"/>
      </w:pPr>
      <w:r>
        <w:rPr>
          <w:i/>
          <w:iCs/>
        </w:rPr>
        <w:t xml:space="preserve">Sources: EXE Q1 2026 earnings release and earnings call transcript; EXE 8-K/press release on the Twin Eagle acquisition (7/27/2026); daily market news; and EXE historical price data. This preview is for informational purposes and is not investment advice.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2026-07-28T01:34:40Z</dcterms:created>
  <dcterms:modified xsi:type="dcterms:W3CDTF">2026-07-28T01:34:40Z</dcterms:modified>
</cp:coreProperties>
</file>

<file path=docProps/custom.xml><?xml version="1.0" encoding="utf-8"?>
<Properties xmlns="http://schemas.openxmlformats.org/officeDocument/2006/custom-properties" xmlns:vt="http://schemas.openxmlformats.org/officeDocument/2006/docPropsVTypes"/>
</file>