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fbf1641d441ece4481c5c9d0bbf2fc072a7897f"/>
    <w:p>
      <w:pPr>
        <w:pStyle w:val="Heading1"/>
      </w:pPr>
      <w:r>
        <w:t xml:space="preserve">Expand Energy (EXE) — Q2 2026 Earnings Preview</w:t>
      </w:r>
    </w:p>
    <w:p>
      <w:pPr>
        <w:pStyle w:val="FirstParagraph"/>
      </w:pPr>
      <w:r>
        <w:rPr>
          <w:b/>
          <w:bCs/>
        </w:rPr>
        <w:t xml:space="preserve">Report Date:</w:t>
      </w:r>
      <w:r>
        <w:t xml:space="preserve"> </w:t>
      </w:r>
      <w:r>
        <w:t xml:space="preserve">July 28, 2026 (after market close) |</w:t>
      </w:r>
      <w:r>
        <w:t xml:space="preserve"> </w:t>
      </w:r>
      <w:r>
        <w:rPr>
          <w:b/>
          <w:bCs/>
        </w:rPr>
        <w:t xml:space="preserve">Fiscal Period:</w:t>
      </w:r>
      <w:r>
        <w:t xml:space="preserve"> </w:t>
      </w:r>
      <w:r>
        <w:t xml:space="preserve">2026Q2</w:t>
      </w:r>
    </w:p>
    <w:p>
      <w:r>
        <w:pict>
          <v:rect style="width:0;height:1.5pt" o:hralign="center" o:hrstd="t" o:hr="t"/>
        </w:pict>
      </w:r>
    </w:p>
    <w:bookmarkStart w:id="9" w:name="X9bd0a41c6b907af1e3d1d899eeca26733e0c7e6"/>
    <w:p>
      <w:pPr>
        <w:pStyle w:val="Heading2"/>
      </w:pPr>
      <w:r>
        <w:t xml:space="preserve">1. Setup Going Into the Print</w:t>
      </w:r>
    </w:p>
    <w:p>
      <w:pPr>
        <w:pStyle w:val="FirstParagraph"/>
      </w:pPr>
      <w:r>
        <w:t xml:space="preserve">Expand Energy — North America's largest natural gas producer (Haynesville, Northeast Appalachia, Southwest Appalachia) — reports Q2 2026 results tomorrow, just</w:t>
      </w:r>
      <w:r>
        <w:t xml:space="preserve"> </w:t>
      </w:r>
      <w:r>
        <w:rPr>
          <w:b/>
          <w:bCs/>
        </w:rPr>
        <w:t xml:space="preserve">one day after dropping a major strategic bombshell</w:t>
      </w:r>
      <w:r>
        <w:t xml:space="preserve">: a definitive agreement to acquire</w:t>
      </w:r>
      <w:r>
        <w:t xml:space="preserve"> </w:t>
      </w:r>
      <w:r>
        <w:rPr>
          <w:b/>
          <w:bCs/>
        </w:rPr>
        <w:t xml:space="preserve">Twin Eagle Holdings</w:t>
      </w:r>
      <w:r>
        <w:t xml:space="preserve"> </w:t>
      </w:r>
      <w:r>
        <w:t xml:space="preserve">for</w:t>
      </w:r>
      <w:r>
        <w:t xml:space="preserve"> </w:t>
      </w:r>
      <w:r>
        <w:rPr>
          <w:b/>
          <w:bCs/>
        </w:rPr>
        <w:t xml:space="preserve">$1.25 billion</w:t>
      </w:r>
      <w:r>
        <w:t xml:space="preserve"> </w:t>
      </w:r>
      <w:r>
        <w:t xml:space="preserve">from Five Point Infrastructure. This timing means the call will likely be dominated by questions about the deal as much as the quarter itself.</w:t>
      </w:r>
    </w:p>
    <w:p>
      <w:pPr>
        <w:pStyle w:val="BodyText"/>
      </w:pPr>
      <w:r>
        <w:t xml:space="preserve">Key deal terms: Expand Energy Corporation announced today that it has entered into a definitive merger agreement to acquire Twin Eagle Holdings, N.A., LLC, a leading private asset-backed natural gas marketing and optimization business, for $1.25 billion from Five Point Infrastructure. The transaction is subject to typical purchase price adjustments, including working capital, and is expected to close in the third quarter of 2026, and the Company expects to fund the transaction through a combination of cash on hand and borrowings under its revolving credit facility.</w:t>
      </w:r>
    </w:p>
    <w:p>
      <w:pPr>
        <w:pStyle w:val="BodyText"/>
      </w:pPr>
      <w:r>
        <w:t xml:space="preserve">The strategic logic: Twin Eagle today markets more than 5 billion cubic feet per day (Bcf/d) of natural gas and manages roughly 44 Bcf of storage capacity and approximately 2 Bcf/d of firm transportation, serving more than 1,000 customers across the U.S. and Canada, and on a combined basis the combined portfolio will have approximately 14 Bcf/d of marketed volume supported by roughly 9 Bcf/d of firm transportation and 49 Bcf of storage capacity. Management is framing this as materially upgrading its commercial ambitions: the Company now expects to deliver $750 million per year of incremental free cash flow from its marketing and commercial strategy, an increase of 50% from its previous target, and the deal is expected to be immediately accretive, initially expected to contribute more than $200 million of projected annual EBITDA, with $150 million per year of synergies by year-end 2028.</w:t>
      </w:r>
    </w:p>
    <w:p>
      <w:pPr>
        <w:pStyle w:val="BodyText"/>
      </w:pPr>
      <w:r>
        <w:rPr>
          <w:b/>
          <w:bCs/>
        </w:rPr>
        <w:t xml:space="preserve">Investor implication:</w:t>
      </w:r>
      <w:r>
        <w:t xml:space="preserve"> </w:t>
      </w:r>
      <w:r>
        <w:t xml:space="preserve">After a year of aggressive deleveraging, EXE is choosing to lever back up (cash + revolver draw) to fund a marketing acquisition just as it reports Q2 — expect heavy questioning on pro forma leverage, revolver capacity, and whether this changes the buyback/debt-paydown balance for the rest of 2026.</w:t>
      </w:r>
    </w:p>
    <w:p>
      <w:r>
        <w:pict>
          <v:rect style="width:0;height:1.5pt" o:hralign="center" o:hrstd="t" o:hr="t"/>
        </w:pict>
      </w:r>
    </w:p>
    <w:bookmarkEnd w:id="9"/>
    <w:bookmarkStart w:id="10" w:name="Xdf0c0111b6d2b69535a2bf68b96c94d2d3f1f4b"/>
    <w:p>
      <w:pPr>
        <w:pStyle w:val="Heading2"/>
      </w:pPr>
      <w:r>
        <w:t xml:space="preserve">2. Q1 2026 Recap (The Baseline)</w:t>
      </w:r>
    </w:p>
    <w:p>
      <w:pPr>
        <w:pStyle w:val="FirstParagraph"/>
      </w:pPr>
      <w:r>
        <w:t xml:space="preserve">Q1 was strong and sets a high bar: net cash provided by operating activities of $2,402 million... net income of $1,159 million, or $4.81 per fully diluted share; adjusted net income of $923 million, or $3.83 per diluted share... adjusted EBITDAX of $1,968 million... net production of ~7.44 Bcfe/d (93% natural gas), reaffirming full-year 2026 guidance of ~7.5 Bcfe/d. The balance sheet also improved sharply: total debt of</w:t>
      </w:r>
      <w:r>
        <w:t xml:space="preserve"> </w:t>
      </w:r>
      <m:oMath>
        <m:r>
          <m:t>5.0</m:t>
        </m:r>
        <m:r>
          <m:t>b</m:t>
        </m:r>
        <m:r>
          <m:t>i</m:t>
        </m:r>
        <m:r>
          <m:t>l</m:t>
        </m:r>
        <m:r>
          <m:t>l</m:t>
        </m:r>
        <m:r>
          <m:t>i</m:t>
        </m:r>
        <m:r>
          <m:t>o</m:t>
        </m:r>
        <m:r>
          <m:t>n</m:t>
        </m:r>
        <m:r>
          <m:t>a</m:t>
        </m:r>
        <m:r>
          <m:t>s</m:t>
        </m:r>
        <m:r>
          <m:t>o</m:t>
        </m:r>
        <m:r>
          <m:t>f</m:t>
        </m:r>
        <m:r>
          <m:t>q</m:t>
        </m:r>
        <m:r>
          <m:t>u</m:t>
        </m:r>
        <m:r>
          <m:t>a</m:t>
        </m:r>
        <m:r>
          <m:t>r</m:t>
        </m:r>
        <m:r>
          <m:t>t</m:t>
        </m:r>
        <m:r>
          <m:t>e</m:t>
        </m:r>
        <m:r>
          <m:t>r</m:t>
        </m:r>
        <m:r>
          <m:rPr>
            <m:sty m:val="p"/>
          </m:rPr>
          <m:t>−</m:t>
        </m:r>
        <m:r>
          <m:t>e</m:t>
        </m:r>
        <m:r>
          <m:t>n</m:t>
        </m:r>
        <m:r>
          <m:t>d</m:t>
        </m:r>
        <m:r>
          <m:t>r</m:t>
        </m:r>
        <m:r>
          <m:t>e</m:t>
        </m:r>
        <m:r>
          <m:t>d</m:t>
        </m:r>
        <m:r>
          <m:t>u</m:t>
        </m:r>
        <m:r>
          <m:t>c</m:t>
        </m:r>
        <m:r>
          <m:t>e</m:t>
        </m:r>
        <m:r>
          <m:t>d</m:t>
        </m:r>
        <m:r>
          <m:t>b</m:t>
        </m:r>
        <m:r>
          <m:t>y</m:t>
        </m:r>
        <m:r>
          <m:t> </m:t>
        </m:r>
      </m:oMath>
      <w:r>
        <w:t xml:space="preserve">1.3 billion from senior note redemption during April 2026... reported quarter-end net debt of $2.8 billion, down $1.6 billion from year-end 2025... repurchased $150 million of common stock through April 24, 2026.</w:t>
      </w:r>
    </w:p>
    <w:p>
      <w:pPr>
        <w:pStyle w:val="BodyText"/>
      </w:pPr>
      <w:r>
        <w:t xml:space="preserve">Realized pricing benefited from hedges: Q1 average realized natural gas price (including derivatives) was</w:t>
      </w:r>
      <w:r>
        <w:t xml:space="preserve"> </w:t>
      </w:r>
      <w:r>
        <w:rPr>
          <w:b/>
          <w:bCs/>
        </w:rPr>
        <w:t xml:space="preserve">$4.28/Mcf</w:t>
      </w:r>
      <w:r>
        <w:t xml:space="preserve"> </w:t>
      </w:r>
      <w:r>
        <w:t xml:space="preserve">versus an average NYMEX price of $5.04/Mcf — a reminder that EXE's "hedge the wedge" program has been cushioning volatility.</w:t>
      </w:r>
    </w:p>
    <w:p>
      <w:pPr>
        <w:pStyle w:val="BodyText"/>
      </w:pPr>
      <w:r>
        <w:t xml:space="preserve">Management also reaffirmed the full-year plan: in 2026, Expand Energy expects to run 11 to 12 rigs and invest approximately $2.85 billion yielding an estimated daily production of approximately 7.5 Bcfe/d.</w:t>
      </w:r>
    </w:p>
    <w:p>
      <w:r>
        <w:pict>
          <v:rect style="width:0;height:1.5pt" o:hralign="center" o:hrstd="t" o:hr="t"/>
        </w:pict>
      </w:r>
    </w:p>
    <w:bookmarkEnd w:id="10"/>
    <w:bookmarkStart w:id="11" w:name="X819ea8604aa36b3514d27b468f1ec9fc905d6c9"/>
    <w:p>
      <w:pPr>
        <w:pStyle w:val="Heading2"/>
      </w:pPr>
      <w:r>
        <w:t xml:space="preserve">3. What to Expect for Q2 Numbers</w:t>
      </w:r>
    </w:p>
    <w:p>
      <w:pPr>
        <w:pStyle w:val="FirstParagraph"/>
      </w:pPr>
      <w:r>
        <w:t xml:space="preserve">Unlike Q1, Q2 faces a much tougher gas-price backdrop and a tougher year-over-year comp. Consensus (per Zacks) is looking for</w:t>
      </w:r>
      <w:r>
        <w:t xml:space="preserve"> </w:t>
      </w:r>
      <w:r>
        <w:rPr>
          <w:b/>
          <w:bCs/>
        </w:rPr>
        <w:t xml:space="preserve">EPS of roughly</w:t>
      </w:r>
      <w:r>
        <w:rPr>
          <w:b/>
          <w:bCs/>
        </w:rPr>
        <w:t xml:space="preserve"> </w:t>
      </w:r>
      <m:oMath>
        <m:r>
          <m:t>1.16</m:t>
        </m:r>
        <m:r>
          <m:rPr>
            <m:sty m:val="p"/>
          </m:rPr>
          <m:t>*</m:t>
        </m:r>
        <m:r>
          <m:rPr>
            <m:sty m:val="p"/>
          </m:rPr>
          <m:t>*</m:t>
        </m:r>
        <m:r>
          <m:t>a</m:t>
        </m:r>
        <m:r>
          <m:t>n</m:t>
        </m:r>
        <m:r>
          <m:t>d</m:t>
        </m:r>
        <m:r>
          <m:t>r</m:t>
        </m:r>
        <m:r>
          <m:t>e</m:t>
        </m:r>
        <m:r>
          <m:t>v</m:t>
        </m:r>
        <m:r>
          <m:t>e</m:t>
        </m:r>
        <m:r>
          <m:t>n</m:t>
        </m:r>
        <m:r>
          <m:t>u</m:t>
        </m:r>
        <m:r>
          <m:t>e</m:t>
        </m:r>
        <m:r>
          <m:t>n</m:t>
        </m:r>
        <m:r>
          <m:t>e</m:t>
        </m:r>
        <m:r>
          <m:t>a</m:t>
        </m:r>
        <m:r>
          <m:t>r</m:t>
        </m:r>
        <m:r>
          <m:rPr>
            <m:sty m:val="p"/>
          </m:rPr>
          <m:t>*</m:t>
        </m:r>
        <m:r>
          <m:rPr>
            <m:sty m:val="p"/>
          </m:rPr>
          <m:t>*</m:t>
        </m:r>
      </m:oMath>
      <w:r>
        <w:rPr>
          <w:b/>
          <w:bCs/>
        </w:rPr>
        <w:t xml:space="preserve">2.0 billion</w:t>
      </w:r>
      <w:r>
        <w:t xml:space="preserve">, which would represent a steep sequential decline from Q1's blowout quarter, reflecting normalized (lower) Henry Hub pricing versus Q1's cold-weather spike. The EIA's most recent outlook pegs Henry Hub spot prices as</w:t>
      </w:r>
      <w:r>
        <w:t xml:space="preserve"> </w:t>
      </w:r>
      <w:r>
        <w:rPr>
          <w:b/>
          <w:bCs/>
        </w:rPr>
        <w:t xml:space="preserve">subdued through the summer (roughly $2.80–3.10/MMBtu)</w:t>
      </w:r>
      <w:r>
        <w:t xml:space="preserve"> </w:t>
      </w:r>
      <w:r>
        <w:t xml:space="preserve">before firming into Q4 on rising LNG feedgas demand — a headwind to realized prices this quarter relative to Q1, even with hedges providing a floor.</w:t>
      </w:r>
    </w:p>
    <w:p>
      <w:pPr>
        <w:pStyle w:val="BodyText"/>
      </w:pPr>
      <w:r>
        <w:t xml:space="preserve">On production/capex cadence, management flagged on the Q1 call that</w:t>
      </w:r>
      <w:r>
        <w:t xml:space="preserve"> </w:t>
      </w:r>
      <w:r>
        <w:rPr>
          <w:b/>
          <w:bCs/>
        </w:rPr>
        <w:t xml:space="preserve">Q2 would be the high-water mark for capital spending</w:t>
      </w:r>
      <w:r>
        <w:t xml:space="preserve"> </w:t>
      </w:r>
      <w:r>
        <w:t xml:space="preserve">in 2026 due to front-loaded drilling and completion activity, workover timing, and leasehold acquisition closings, while production would stay roughly flat quarter-over-quarter before growing modestly in the back half of the year — all still consistent with the full-year 7.5 Bcfe/d target. Investors should check whether that cadence held, especially after Gulf Coast operations were disrupted by Winter Storm Fern earlier in the year (which had already pushed some capex from Q1 into Q2).</w:t>
      </w:r>
    </w:p>
    <w:p>
      <w:pPr>
        <w:pStyle w:val="BodyText"/>
      </w:pPr>
      <w:r>
        <w:t xml:space="preserve">Estimate revisions have trended slightly negative into the print (Zacks Earnings ESP of roughly -1.8%, with a Sell-leaning Zacks Rank), suggesting some sell-side caution, even though the stock carries a broadly bullish consensus rating from the larger analyst pool and an average price target well above the current share price.</w:t>
      </w:r>
    </w:p>
    <w:p>
      <w:r>
        <w:pict>
          <v:rect style="width:0;height:1.5pt" o:hralign="center" o:hrstd="t" o:hr="t"/>
        </w:pict>
      </w:r>
    </w:p>
    <w:bookmarkEnd w:id="11"/>
    <w:bookmarkStart w:id="12" w:name="X2adc59179bd6359cc238d5464d75655e2b6ac92"/>
    <w:p>
      <w:pPr>
        <w:pStyle w:val="Heading2"/>
      </w:pPr>
      <w:r>
        <w:t xml:space="preserve">4. Key Themes to Watch on the Call</w:t>
      </w:r>
    </w:p>
    <w:p>
      <w:pPr>
        <w:pStyle w:val="FirstParagraph"/>
      </w:pPr>
      <w:r>
        <w:rPr>
          <w:b/>
          <w:bCs/>
        </w:rPr>
        <w:t xml:space="preserve">a) Twin Eagle integration and balance sheet math.</w:t>
      </w:r>
      <w:r>
        <w:t xml:space="preserve"> </w:t>
      </w:r>
      <w:r>
        <w:t xml:space="preserve">How much revolver capacity gets used, what pro forma leverage looks like, and whether the deleveraging narrative (net debt cut to $2.8B, "peer-leading leverage" per the CFO) gets paused or reversed. Expect discussion of how this interacts with the buyback program — management had already signaled a pivot toward "rebalancing" capital allocation from debt paydown toward shareholder returns for the rest of 2026 before this deal was announced.</w:t>
      </w:r>
    </w:p>
    <w:p>
      <w:pPr>
        <w:pStyle w:val="BodyText"/>
      </w:pPr>
      <w:r>
        <w:rPr>
          <w:b/>
          <w:bCs/>
        </w:rPr>
        <w:t xml:space="preserve">b) Marketing &amp; commercial strategy scale-up.</w:t>
      </w:r>
      <w:r>
        <w:t xml:space="preserve"> </w:t>
      </w:r>
      <w:r>
        <w:t xml:space="preserve">This has been management's central 2026 talking point — moving from a pure E&amp;P to an integrated gas company capturing margin across the value chain (LNG offtake, premium markets, volatility monetization). With the incremental FCF target now raised to $750 million/year and Twin Eagle adding direct marketing/logistics capability reaching ~90% of the U.S. gas market, investors will want specifics on integration timeline, management retention (Twin Eagle's CEO Jeremy Davis is staying on), and how quickly synergies ramp toward the $150 million/year target by 2028.</w:t>
      </w:r>
    </w:p>
    <w:p>
      <w:pPr>
        <w:pStyle w:val="BodyText"/>
      </w:pPr>
      <w:r>
        <w:rPr>
          <w:b/>
          <w:bCs/>
        </w:rPr>
        <w:t xml:space="preserve">c) CEO search update.</w:t>
      </w:r>
      <w:r>
        <w:t xml:space="preserve"> </w:t>
      </w:r>
      <w:r>
        <w:t xml:space="preserve">Interim CEO Mike Wichterich has been running the company since February 2026 following Domenic Dell'Osso's departure amid the corporate move to Spring/Houston, Texas. On the Q1 call, management targeted a permanent CEO decision around Q3/Q4 2026 — this call is a natural checkpoint for an update on timing and whether the process has been complicated or accelerated by the Twin Eagle deal.</w:t>
      </w:r>
    </w:p>
    <w:p>
      <w:pPr>
        <w:pStyle w:val="BodyText"/>
      </w:pPr>
      <w:r>
        <w:rPr>
          <w:b/>
          <w:bCs/>
        </w:rPr>
        <w:t xml:space="preserve">d) Western Haynesville appraisal.</w:t>
      </w:r>
      <w:r>
        <w:t xml:space="preserve"> </w:t>
      </w:r>
      <w:r>
        <w:t xml:space="preserve">Early results from the first well were described as encouraging on the Q1 call, with a second well spud roughly 15 miles north. Updates on well costs, productivity, and how quickly this new acreage can move down the cost curve relative to the legacy Haynesville will matter for the long-term inventory/duration story.</w:t>
      </w:r>
    </w:p>
    <w:p>
      <w:pPr>
        <w:pStyle w:val="BodyText"/>
      </w:pPr>
      <w:r>
        <w:rPr>
          <w:b/>
          <w:bCs/>
        </w:rPr>
        <w:t xml:space="preserve">e) Gas price sensitivity and activity flexibility.</w:t>
      </w:r>
      <w:r>
        <w:t xml:space="preserve"> </w:t>
      </w:r>
      <w:r>
        <w:t xml:space="preserve">Management has repeatedly stressed a "toolkit" to defer turn-in-lines or slow completions if strip pricing falls below the ~</w:t>
      </w:r>
      <m:oMath>
        <m:r>
          <m:t>3.50</m:t>
        </m:r>
        <m:r>
          <m:rPr>
            <m:sty m:val="p"/>
          </m:rPr>
          <m:t>–</m:t>
        </m:r>
      </m:oMath>
      <w:r>
        <w:t xml:space="preserve">4.00/Mcf range underpinning the current capital plan. With summer Henry Hub prices trending toward $3.00 or below per EIA, and the 2027 strip having dipped as well, watch for any commentary on moderating activity — a topic analysts flagged as a "weak Q2 setup" concern even before Twin Eagle was announced.</w:t>
      </w:r>
    </w:p>
    <w:p>
      <w:pPr>
        <w:pStyle w:val="BodyText"/>
      </w:pPr>
      <w:r>
        <w:rPr>
          <w:b/>
          <w:bCs/>
        </w:rPr>
        <w:t xml:space="preserve">f) LNG/demand-growth commentary.</w:t>
      </w:r>
      <w:r>
        <w:t xml:space="preserve"> </w:t>
      </w:r>
      <w:r>
        <w:t xml:space="preserve">Expect continued emphasis on the AI power demand, industrial reshoring, and global LNG buildout thesis, building on the April announcement of a 20-year SPA with Delfin FLNG Vessel 1 for</w:t>
      </w:r>
      <w:r>
        <w:t xml:space="preserve"> </w:t>
      </w:r>
      <w:r>
        <w:rPr>
          <w:b/>
          <w:bCs/>
        </w:rPr>
        <w:t xml:space="preserve">~1.15 million tonnes/year</w:t>
      </w:r>
      <w:r>
        <w:t xml:space="preserve"> </w:t>
      </w:r>
      <w:r>
        <w:t xml:space="preserve">of LNG offtake, and commentary on the pending "gas supply manager" arrangement with Delfin.</w:t>
      </w:r>
    </w:p>
    <w:p>
      <w:pPr>
        <w:pStyle w:val="BodyText"/>
      </w:pPr>
      <w:r>
        <w:rPr>
          <w:b/>
          <w:bCs/>
        </w:rPr>
        <w:t xml:space="preserve">g) Geopolitical/macro overlay.</w:t>
      </w:r>
      <w:r>
        <w:t xml:space="preserve"> </w:t>
      </w:r>
      <w:r>
        <w:t xml:space="preserve">Oil and gas markets have been volatile heading into the print — Brent spiked above $100/bbl amid the Middle East conflict before a sharp reversal after the U.S. paused strikes on Iran, with Brent and WTI both falling over 5% in the most recent session. While EXE is gas-weighted, this macro backdrop (energy security narrative, LNG demand) has been central to management's bullish framing since Q1, so expect it to resurface.</w:t>
      </w:r>
    </w:p>
    <w:p>
      <w:r>
        <w:pict>
          <v:rect style="width:0;height:1.5pt" o:hralign="center" o:hrstd="t" o:hr="t"/>
        </w:pict>
      </w:r>
    </w:p>
    <w:bookmarkEnd w:id="12"/>
    <w:bookmarkStart w:id="13" w:name="X94fb3c81e558449bc3de14c630d178606848aec"/>
    <w:p>
      <w:pPr>
        <w:pStyle w:val="Heading2"/>
      </w:pPr>
      <w:r>
        <w:t xml:space="preserve">5. Stock &amp; Valuation Context</w:t>
      </w:r>
    </w:p>
    <w:p>
      <w:pPr>
        <w:pStyle w:val="FirstParagraph"/>
      </w:pPr>
      <w:r>
        <w:t xml:space="preserve">EXE shares have had a rough 2026, falling from roughly</w:t>
      </w:r>
      <w:r>
        <w:t xml:space="preserve"> </w:t>
      </w:r>
      <m:oMath>
        <m:r>
          <m:t>110</m:t>
        </m:r>
        <m:r>
          <m:t>i</m:t>
        </m:r>
        <m:r>
          <m:t>n</m:t>
        </m:r>
        <m:r>
          <m:t>e</m:t>
        </m:r>
        <m:r>
          <m:t>a</m:t>
        </m:r>
        <m:r>
          <m:t>r</m:t>
        </m:r>
        <m:r>
          <m:t>l</m:t>
        </m:r>
        <m:r>
          <m:t>y</m:t>
        </m:r>
        <m:r>
          <m:t>J</m:t>
        </m:r>
        <m:r>
          <m:t>a</m:t>
        </m:r>
        <m:r>
          <m:t>n</m:t>
        </m:r>
        <m:r>
          <m:t>u</m:t>
        </m:r>
        <m:r>
          <m:t>a</m:t>
        </m:r>
        <m:r>
          <m:t>r</m:t>
        </m:r>
        <m:r>
          <m:t>y</m:t>
        </m:r>
        <m:r>
          <m:t>t</m:t>
        </m:r>
        <m:r>
          <m:t>o</m:t>
        </m:r>
        <m:r>
          <m:t>t</m:t>
        </m:r>
        <m:r>
          <m:t>h</m:t>
        </m:r>
        <m:r>
          <m:t>e</m:t>
        </m:r>
        <m:r>
          <m:t>h</m:t>
        </m:r>
        <m:r>
          <m:t>i</m:t>
        </m:r>
        <m:r>
          <m:t>g</m:t>
        </m:r>
        <m:r>
          <m:t>h</m:t>
        </m:r>
        <m:r>
          <m:rPr>
            <m:sty m:val="p"/>
          </m:rPr>
          <m:t>−</m:t>
        </m:r>
      </m:oMath>
      <w:r>
        <w:t xml:space="preserve">80s/low-$90s heading into the print — a decline of roughly 15–20% year-to-date, underperforming both the broader market and energy-sector benchmarks, largely on soft realized gas prices and cautious Q2 guidance signals. The Twin Eagle announcement itself did not produce a dramatic one-day pop, with shares trading in the low</w:t>
      </w:r>
      <w:r>
        <w:t xml:space="preserve"> </w:t>
      </w:r>
      <m:oMath>
        <m:r>
          <m:t>90</m:t>
        </m:r>
        <m:r>
          <m:t>s</m:t>
        </m:r>
        <m:r>
          <m:t>b</m:t>
        </m:r>
        <m:r>
          <m:t>o</m:t>
        </m:r>
        <m:r>
          <m:t>t</m:t>
        </m:r>
        <m:r>
          <m:t>h</m:t>
        </m:r>
        <m:r>
          <m:t>b</m:t>
        </m:r>
        <m:r>
          <m:t>e</m:t>
        </m:r>
        <m:r>
          <m:t>f</m:t>
        </m:r>
        <m:r>
          <m:t>o</m:t>
        </m:r>
        <m:r>
          <m:t>r</m:t>
        </m:r>
        <m:r>
          <m:t>e</m:t>
        </m:r>
        <m:r>
          <m:t>a</m:t>
        </m:r>
        <m:r>
          <m:t>n</m:t>
        </m:r>
        <m:r>
          <m:t>d</m:t>
        </m:r>
        <m:r>
          <m:t>a</m:t>
        </m:r>
        <m:r>
          <m:t>f</m:t>
        </m:r>
        <m:r>
          <m:t>t</m:t>
        </m:r>
        <m:r>
          <m:t>e</m:t>
        </m:r>
        <m:r>
          <m:t>r</m:t>
        </m:r>
        <m:r>
          <m:t>t</m:t>
        </m:r>
        <m:r>
          <m:t>h</m:t>
        </m:r>
        <m:r>
          <m:t>e</m:t>
        </m:r>
        <m:r>
          <m:t>n</m:t>
        </m:r>
        <m:r>
          <m:t>e</m:t>
        </m:r>
        <m:r>
          <m:t>w</m:t>
        </m:r>
        <m:r>
          <m:t>s</m:t>
        </m:r>
        <m:r>
          <m:rPr>
            <m:sty m:val="p"/>
          </m:rPr>
          <m:t>.</m:t>
        </m:r>
        <m:r>
          <m:t>C</m:t>
        </m:r>
        <m:r>
          <m:t>o</m:t>
        </m:r>
        <m:r>
          <m:t>n</m:t>
        </m:r>
        <m:r>
          <m:t>s</m:t>
        </m:r>
        <m:r>
          <m:t>e</m:t>
        </m:r>
        <m:r>
          <m:t>n</m:t>
        </m:r>
        <m:r>
          <m:t>s</m:t>
        </m:r>
        <m:r>
          <m:t>u</m:t>
        </m:r>
        <m:r>
          <m:t>s</m:t>
        </m:r>
        <m:r>
          <m:t>a</m:t>
        </m:r>
        <m:r>
          <m:t>n</m:t>
        </m:r>
        <m:r>
          <m:t>a</m:t>
        </m:r>
        <m:r>
          <m:t>l</m:t>
        </m:r>
        <m:r>
          <m:t>y</m:t>
        </m:r>
        <m:r>
          <m:t>s</m:t>
        </m:r>
        <m:r>
          <m:t>t</m:t>
        </m:r>
        <m:r>
          <m:t>p</m:t>
        </m:r>
        <m:r>
          <m:t>r</m:t>
        </m:r>
        <m:r>
          <m:t>i</m:t>
        </m:r>
        <m:r>
          <m:t>c</m:t>
        </m:r>
        <m:r>
          <m:t>e</m:t>
        </m:r>
        <m:r>
          <m:t>t</m:t>
        </m:r>
        <m:r>
          <m:t>a</m:t>
        </m:r>
        <m:r>
          <m:t>r</m:t>
        </m:r>
        <m:r>
          <m:t>g</m:t>
        </m:r>
        <m:r>
          <m:t>e</m:t>
        </m:r>
        <m:r>
          <m:t>t</m:t>
        </m:r>
        <m:r>
          <m:t>s</m:t>
        </m:r>
        <m:r>
          <m:t>c</m:t>
        </m:r>
        <m:r>
          <m:t>l</m:t>
        </m:r>
        <m:r>
          <m:t>u</m:t>
        </m:r>
        <m:r>
          <m:t>s</m:t>
        </m:r>
        <m:r>
          <m:t>t</m:t>
        </m:r>
        <m:r>
          <m:t>e</m:t>
        </m:r>
        <m:r>
          <m:t>r</m:t>
        </m:r>
        <m:r>
          <m:t>i</m:t>
        </m:r>
        <m:r>
          <m:t>n</m:t>
        </m:r>
        <m:r>
          <m:t>t</m:t>
        </m:r>
        <m:r>
          <m:t>h</m:t>
        </m:r>
        <m:r>
          <m:t>e</m:t>
        </m:r>
        <m:r>
          <m:rPr>
            <m:sty m:val="p"/>
          </m:rPr>
          <m:t>*</m:t>
        </m:r>
        <m:r>
          <m:rPr>
            <m:sty m:val="p"/>
          </m:rPr>
          <m:t>*</m:t>
        </m:r>
      </m:oMath>
      <w:r>
        <w:t xml:space="preserve">124–$133** range, implying meaningful upside from current levels if management can deliver on both the operational plan and the accelerated marketing/M&amp;A strategy — but the stock's recent underperformance suggests the market wants to see execution (and clarity on leadership) before re-rating.</w:t>
      </w:r>
    </w:p>
    <w:p>
      <w:r>
        <w:pict>
          <v:rect style="width:0;height:1.5pt" o:hralign="center" o:hrstd="t" o:hr="t"/>
        </w:pict>
      </w:r>
    </w:p>
    <w:bookmarkEnd w:id="13"/>
    <w:bookmarkStart w:id="14" w:name="Xd4bf6205a9bfa183b58f00ca467c208cbf0bac7"/>
    <w:p>
      <w:pPr>
        <w:pStyle w:val="Heading2"/>
      </w:pPr>
      <w:r>
        <w:t xml:space="preserve">6. Bottom Line for Investors</w:t>
      </w:r>
    </w:p>
    <w:p>
      <w:pPr>
        <w:pStyle w:val="FirstParagraph"/>
      </w:pPr>
      <w:r>
        <w:t xml:space="preserve">This is a print with more moving pieces than usual: normal quarterly execution (production, costs, capex cadence) matters, but the</w:t>
      </w:r>
      <w:r>
        <w:t xml:space="preserve"> </w:t>
      </w:r>
      <w:r>
        <w:rPr>
          <w:b/>
          <w:bCs/>
        </w:rPr>
        <w:t xml:space="preserve">Twin Eagle acquisition announced one day prior</w:t>
      </w:r>
      <w:r>
        <w:t xml:space="preserve"> </w:t>
      </w:r>
      <w:r>
        <w:t xml:space="preserve">will likely dominate the narrative — financing/leverage impact, synergy credibility, and how it fits the broader "integrated natural gas company" pitch. Layer on an unresolved</w:t>
      </w:r>
      <w:r>
        <w:t xml:space="preserve"> </w:t>
      </w:r>
      <w:r>
        <w:rPr>
          <w:b/>
          <w:bCs/>
        </w:rPr>
        <w:t xml:space="preserve">CEO search</w:t>
      </w:r>
      <w:r>
        <w:t xml:space="preserve">, a</w:t>
      </w:r>
      <w:r>
        <w:t xml:space="preserve"> </w:t>
      </w:r>
      <w:r>
        <w:rPr>
          <w:b/>
          <w:bCs/>
        </w:rPr>
        <w:t xml:space="preserve">soft summer gas-price backdrop</w:t>
      </w:r>
      <w:r>
        <w:t xml:space="preserve">, and a</w:t>
      </w:r>
      <w:r>
        <w:t xml:space="preserve"> </w:t>
      </w:r>
      <w:r>
        <w:rPr>
          <w:b/>
          <w:bCs/>
        </w:rPr>
        <w:t xml:space="preserve">volatile geopolitical/oil-price environment</w:t>
      </w:r>
      <w:r>
        <w:t xml:space="preserve">, and the setup argues for close attention to management's tone on capital allocation discipline and activity flexibility as much as the headline EPS/production beat-or-miss.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2026-07-28T02:11:57Z</dcterms:created>
  <dcterms:modified xsi:type="dcterms:W3CDTF">2026-07-28T02:11:57Z</dcterms:modified>
</cp:coreProperties>
</file>

<file path=docProps/custom.xml><?xml version="1.0" encoding="utf-8"?>
<Properties xmlns="http://schemas.openxmlformats.org/officeDocument/2006/custom-properties" xmlns:vt="http://schemas.openxmlformats.org/officeDocument/2006/docPropsVTypes"/>
</file>