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8"/>
    <w:p>
      <w:pPr>
        <w:pStyle w:val="Heading1"/>
      </w:pPr>
      <w:r>
        <w:t xml:space="preserve">EXE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~$1.20 vs. cons $1.16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~7.43 Bcfe/d vs. cons 7.45 Bcfe/d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capital expenditures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~$805M vs. cons $808M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~7.50 Bcfe/d vs. cons 7.50 Bcfe/d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~$2.85B vs. cons $2.85B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~$100M vs. cons $300M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~</w:t>
            </w:r>
            <m:oMath>
              <m:r>
                <m:t>0.04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d</m:t>
              </m:r>
              <m:r>
                <m:t>a</m:t>
              </m:r>
              <m:r>
                <m:t>y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7.50</m:t>
              </m:r>
              <m:r>
                <m:t>B</m:t>
              </m:r>
              <m:r>
                <m:t>c</m:t>
              </m:r>
              <m:r>
                <m:t>f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2.85B capex guidance imply little out-period estimate upside, while predicted 2H2026 repurchases of ~</w:t>
            </w:r>
            <m:oMath>
              <m:r>
                <m:t>100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300M consensus constrain follow-through after Twin Eagle.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2026-07-28T01:33:46Z</dcterms:created>
  <dcterms:modified xsi:type="dcterms:W3CDTF">2026-07-28T01:33:46Z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