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41512805371b137c6eae8f72adc600bfcf451d7"/>
    <w:p>
      <w:pPr>
        <w:pStyle w:val="Heading1"/>
      </w:pPr>
      <w:r>
        <w:t xml:space="preserve">Expand Energy (NASDAQ: EXE) — 2Q26 Earnings Preview</w:t>
      </w:r>
    </w:p>
    <w:p>
      <w:pPr>
        <w:pStyle w:val="BlockText"/>
      </w:pPr>
      <w:r>
        <w:rPr>
          <w:b/>
          <w:bCs/>
        </w:rPr>
        <w:t xml:space="preserve">Timing clarification:</w:t>
      </w:r>
      <w:r>
        <w:t xml:space="preserve"> </w:t>
      </w:r>
      <w:r>
        <w:t xml:space="preserve">Expand Energy is scheduled to release second-quarter results</w:t>
      </w:r>
      <w:r>
        <w:t xml:space="preserve"> </w:t>
      </w:r>
      <w:r>
        <w:rPr>
          <w:b/>
          <w:bCs/>
        </w:rPr>
        <w:t xml:space="preserve">after market close today, July 28, 2026</w:t>
      </w:r>
      <w:r>
        <w:t xml:space="preserve">. The earnings call is</w:t>
      </w:r>
      <w:r>
        <w:t xml:space="preserve"> </w:t>
      </w:r>
      <w:r>
        <w:rPr>
          <w:b/>
          <w:bCs/>
        </w:rPr>
        <w:t xml:space="preserve">tomorrow, July 29, at 9:00 a.m. EDT</w:t>
      </w:r>
      <w:r>
        <w:t xml:space="preserve">. (</w:t>
      </w:r>
      <w:hyperlink r:id="rId9">
        <w:r>
          <w:rPr>
            <w:rStyle w:val="Hyperlink"/>
          </w:rPr>
          <w:t xml:space="preserve">investors.expandenergy.com</w:t>
        </w:r>
      </w:hyperlink>
      <w:r>
        <w:t xml:space="preserve">)</w:t>
      </w:r>
    </w:p>
    <w:bookmarkStart w:id="10" w:name="investment-setup"/>
    <w:p>
      <w:pPr>
        <w:pStyle w:val="Heading2"/>
      </w:pPr>
      <w:r>
        <w:t xml:space="preserve">Investment setup</w:t>
      </w:r>
    </w:p>
    <w:p>
      <w:pPr>
        <w:pStyle w:val="FirstParagraph"/>
      </w:pPr>
      <w:r>
        <w:t xml:space="preserve">This report is less about whether EXE clears a relatively depressed quarterly EPS bar and more about four forward-looking questions:</w:t>
      </w:r>
    </w:p>
    <w:p>
      <w:pPr>
        <w:pStyle w:val="Compact"/>
        <w:numPr>
          <w:ilvl w:val="0"/>
          <w:numId w:val="1001"/>
        </w:numPr>
      </w:pPr>
      <w:r>
        <w:rPr>
          <w:b/>
          <w:bCs/>
        </w:rPr>
        <w:t xml:space="preserve">Can production and capital remain within guidance despite weak spring gas prices?</w:t>
      </w:r>
    </w:p>
    <w:p>
      <w:pPr>
        <w:pStyle w:val="Compact"/>
        <w:numPr>
          <w:ilvl w:val="0"/>
          <w:numId w:val="1001"/>
        </w:numPr>
      </w:pPr>
      <w:r>
        <w:rPr>
          <w:b/>
          <w:bCs/>
        </w:rPr>
        <w:t xml:space="preserve">Is the company’s marketing strategy producing repeatable earnings rather than one-off volatility gains?</w:t>
      </w:r>
    </w:p>
    <w:p>
      <w:pPr>
        <w:pStyle w:val="Compact"/>
        <w:numPr>
          <w:ilvl w:val="0"/>
          <w:numId w:val="1001"/>
        </w:numPr>
      </w:pPr>
      <w:r>
        <w:rPr>
          <w:b/>
          <w:bCs/>
        </w:rPr>
        <w:t xml:space="preserve">How does the newly announced Twin Eagle acquisition change leverage, buybacks and capital allocation?</w:t>
      </w:r>
    </w:p>
    <w:p>
      <w:pPr>
        <w:pStyle w:val="Compact"/>
        <w:numPr>
          <w:ilvl w:val="0"/>
          <w:numId w:val="1001"/>
        </w:numPr>
      </w:pPr>
      <w:r>
        <w:rPr>
          <w:b/>
          <w:bCs/>
        </w:rPr>
        <w:t xml:space="preserve">Will management maintain its approximately 7.5 Bcfe/d production plan for the second half and 2027?</w:t>
      </w:r>
    </w:p>
    <w:p>
      <w:pPr>
        <w:pStyle w:val="FirstParagraph"/>
      </w:pPr>
      <w:r>
        <w:t xml:space="preserve">EXE closed July 27 at</w:t>
      </w:r>
      <w:r>
        <w:t xml:space="preserve"> </w:t>
      </w:r>
      <w:r>
        <w:rPr>
          <w:b/>
          <w:bCs/>
        </w:rPr>
        <w:t xml:space="preserve">$90.53</w:t>
      </w:r>
      <w:r>
        <w:t xml:space="preserve">, down roughly</w:t>
      </w:r>
      <w:r>
        <w:t xml:space="preserve"> </w:t>
      </w:r>
      <w:r>
        <w:rPr>
          <w:b/>
          <w:bCs/>
        </w:rPr>
        <w:t xml:space="preserve">18% from the start of 2026</w:t>
      </w:r>
      <w:r>
        <w:t xml:space="preserve"> </w:t>
      </w:r>
      <w:r>
        <w:t xml:space="preserve">and about</w:t>
      </w:r>
      <w:r>
        <w:t xml:space="preserve"> </w:t>
      </w:r>
      <w:r>
        <w:rPr>
          <w:b/>
          <w:bCs/>
        </w:rPr>
        <w:t xml:space="preserve">7% since the first-quarter report</w:t>
      </w:r>
      <w:r>
        <w:t xml:space="preserve">. The stock’s approximately 1% decline following the Twin Eagle announcement suggests investors have not yet given the company credit for the transaction’s targeted synergies.</w:t>
      </w:r>
    </w:p>
    <w:bookmarkEnd w:id="10"/>
    <w:bookmarkStart w:id="15" w:name="expectations-and-guidance-baseline"/>
    <w:p>
      <w:pPr>
        <w:pStyle w:val="Heading2"/>
      </w:pPr>
      <w:r>
        <w:t xml:space="preserve">Expectations and guidance baseline</w:t>
      </w:r>
    </w:p>
    <w:p>
      <w:pPr>
        <w:pStyle w:val="FirstParagraph"/>
      </w:pPr>
      <w:r>
        <w:t xml:space="preserve">Third-party consensus data vary, but adjusted EPS expectations generally center around</w:t>
      </w:r>
      <w:r>
        <w:t xml:space="preserve"> </w:t>
      </w:r>
      <m:oMath>
        <m:r>
          <m:t>1.10</m:t>
        </m:r>
        <m:r>
          <m:rPr>
            <m:sty m:val="p"/>
          </m:rPr>
          <m:t>–</m:t>
        </m:r>
      </m:oMath>
      <w:r>
        <w:rPr>
          <w:b/>
          <w:bCs/>
        </w:rPr>
        <w:t xml:space="preserve">1.20</w:t>
      </w:r>
      <w:r>
        <w:t xml:space="preserve">, with a wide range of roughly</w:t>
      </w:r>
      <w:r>
        <w:t xml:space="preserve"> </w:t>
      </w:r>
      <m:oMath>
        <m:r>
          <m:t>0.80</m:t>
        </m:r>
        <m:r>
          <m:rPr>
            <m:sty m:val="p"/>
          </m:rPr>
          <m:t>–</m:t>
        </m:r>
      </m:oMath>
      <w:r>
        <w:rPr>
          <w:b/>
          <w:bCs/>
        </w:rPr>
        <w:t xml:space="preserve">1.49</w:t>
      </w:r>
      <w:r>
        <w:t xml:space="preserve">. One estimate aggregator puts adjusted EBITDA near</w:t>
      </w:r>
      <w:r>
        <w:t xml:space="preserve"> </w:t>
      </w:r>
      <w:r>
        <w:rPr>
          <w:b/>
          <w:bCs/>
        </w:rPr>
        <w:t xml:space="preserve">$1.7 billion</w:t>
      </w:r>
      <w:r>
        <w:t xml:space="preserve">. Revenue estimates are less useful for EXE because gross marketing revenue and derivative mark-to-market movements can create considerable volatility without changing underlying economics. (</w:t>
      </w:r>
      <w:hyperlink r:id="rId11">
        <w:r>
          <w:rPr>
            <w:rStyle w:val="Hyperlink"/>
          </w:rPr>
          <w:t xml:space="preserve">barchart.com</w:t>
        </w:r>
      </w:hyperlink>
      <w:r>
        <w:t xml:space="preserve">)</w:t>
      </w:r>
    </w:p>
    <w:bookmarkStart w:id="14" w:name="managements-existing-2q26-guidance"/>
    <w:p>
      <w:pPr>
        <w:pStyle w:val="Heading3"/>
      </w:pPr>
      <w:r>
        <w:t xml:space="preserve">Management’s existing 2Q26 guidance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guidance</w:t>
            </w:r>
          </w:p>
        </w:tc>
      </w:tr>
      <w:tr>
        <w:tc>
          <w:tcPr/>
          <w:p>
            <w:pPr>
              <w:pStyle w:val="Compact"/>
            </w:pPr>
            <w:r>
              <w:t xml:space="preserve">Total production</w:t>
            </w:r>
          </w:p>
        </w:tc>
        <w:tc>
          <w:tcPr/>
          <w:p>
            <w:pPr>
              <w:pStyle w:val="Compact"/>
              <w:jc w:val="right"/>
            </w:pPr>
            <w:r>
              <w:rPr>
                <w:b/>
                <w:bCs/>
              </w:rPr>
              <w:t xml:space="preserve">7.4–7.5 Bcfe/d</w:t>
            </w:r>
          </w:p>
        </w:tc>
      </w:tr>
      <w:tr>
        <w:tc>
          <w:tcPr/>
          <w:p>
            <w:pPr>
              <w:pStyle w:val="Compact"/>
            </w:pPr>
            <w:r>
              <w:t xml:space="preserve">Haynesville production</w:t>
            </w:r>
          </w:p>
        </w:tc>
        <w:tc>
          <w:tcPr/>
          <w:p>
            <w:pPr>
              <w:pStyle w:val="Compact"/>
              <w:jc w:val="right"/>
            </w:pPr>
            <w:r>
              <w:rPr>
                <w:b/>
                <w:bCs/>
              </w:rPr>
              <w:t xml:space="preserve">~3.175 Bcfe/d</w:t>
            </w:r>
          </w:p>
        </w:tc>
      </w:tr>
      <w:tr>
        <w:tc>
          <w:tcPr/>
          <w:p>
            <w:pPr>
              <w:pStyle w:val="Compact"/>
            </w:pPr>
            <w:r>
              <w:t xml:space="preserve">Northeast Appalachia</w:t>
            </w:r>
          </w:p>
        </w:tc>
        <w:tc>
          <w:tcPr/>
          <w:p>
            <w:pPr>
              <w:pStyle w:val="Compact"/>
              <w:jc w:val="right"/>
            </w:pPr>
            <w:r>
              <w:rPr>
                <w:b/>
                <w:bCs/>
              </w:rPr>
              <w:t xml:space="preserve">~2.650 Bcfe/d</w:t>
            </w:r>
          </w:p>
        </w:tc>
      </w:tr>
      <w:tr>
        <w:tc>
          <w:tcPr/>
          <w:p>
            <w:pPr>
              <w:pStyle w:val="Compact"/>
            </w:pPr>
            <w:r>
              <w:t xml:space="preserve">Southwest Appalachia</w:t>
            </w:r>
          </w:p>
        </w:tc>
        <w:tc>
          <w:tcPr/>
          <w:p>
            <w:pPr>
              <w:pStyle w:val="Compact"/>
              <w:jc w:val="right"/>
            </w:pPr>
            <w:r>
              <w:rPr>
                <w:b/>
                <w:bCs/>
              </w:rPr>
              <w:t xml:space="preserve">~1.625 Bcfe/d</w:t>
            </w:r>
          </w:p>
        </w:tc>
      </w:tr>
      <w:tr>
        <w:tc>
          <w:tcPr/>
          <w:p>
            <w:pPr>
              <w:pStyle w:val="Compact"/>
            </w:pPr>
            <w:r>
              <w:t xml:space="preserve">Total capital expenditures</w:t>
            </w:r>
          </w:p>
        </w:tc>
        <w:tc>
          <w:tcPr/>
          <w:p>
            <w:pPr>
              <w:pStyle w:val="Compact"/>
              <w:jc w:val="right"/>
            </w:pPr>
            <m:oMath>
              <m:r>
                <m:t>770</m:t>
              </m:r>
              <m:r>
                <m:rPr>
                  <m:sty m:val="p"/>
                </m:rPr>
                <m:t>–</m:t>
              </m:r>
            </m:oMath>
            <w:r>
              <w:rPr>
                <w:b/>
                <w:bCs/>
              </w:rPr>
              <w:t xml:space="preserve">845 million</w:t>
            </w:r>
          </w:p>
        </w:tc>
      </w:tr>
      <w:tr>
        <w:tc>
          <w:tcPr/>
          <w:p>
            <w:pPr>
              <w:pStyle w:val="Compact"/>
            </w:pPr>
            <w:r>
              <w:t xml:space="preserve">Drilling and completion capital</w:t>
            </w:r>
          </w:p>
        </w:tc>
        <w:tc>
          <w:tcPr/>
          <w:p>
            <w:pPr>
              <w:pStyle w:val="Compact"/>
              <w:jc w:val="right"/>
            </w:pPr>
            <m:oMath>
              <m:r>
                <m:t>600</m:t>
              </m:r>
              <m:r>
                <m:rPr>
                  <m:sty m:val="p"/>
                </m:rPr>
                <m:t>–</m:t>
              </m:r>
            </m:oMath>
            <w:r>
              <w:rPr>
                <w:b/>
                <w:bCs/>
              </w:rPr>
              <w:t xml:space="preserve">650 million</w:t>
            </w:r>
          </w:p>
        </w:tc>
      </w:tr>
      <w:tr>
        <w:tc>
          <w:tcPr/>
          <w:p>
            <w:pPr>
              <w:pStyle w:val="Compact"/>
            </w:pPr>
            <w:r>
              <w:t xml:space="preserve">Other field capital</w:t>
            </w:r>
          </w:p>
        </w:tc>
        <w:tc>
          <w:tcPr/>
          <w:p>
            <w:pPr>
              <w:pStyle w:val="Compact"/>
              <w:jc w:val="right"/>
            </w:pPr>
            <m:oMath>
              <m:r>
                <m:t>125</m:t>
              </m:r>
              <m:r>
                <m:rPr>
                  <m:sty m:val="p"/>
                </m:rPr>
                <m:t>–</m:t>
              </m:r>
            </m:oMath>
            <w:r>
              <w:rPr>
                <w:b/>
                <w:bCs/>
              </w:rPr>
              <w:t xml:space="preserve">150 million</w:t>
            </w:r>
          </w:p>
        </w:tc>
      </w:tr>
      <w:tr>
        <w:tc>
          <w:tcPr/>
          <w:p>
            <w:pPr>
              <w:pStyle w:val="Compact"/>
            </w:pPr>
            <w:r>
              <w:t xml:space="preserve">Corporate capital</w:t>
            </w:r>
          </w:p>
        </w:tc>
        <w:tc>
          <w:tcPr/>
          <w:p>
            <w:pPr>
              <w:pStyle w:val="Compact"/>
              <w:jc w:val="right"/>
            </w:pPr>
            <w:r>
              <w:rPr>
                <w:b/>
                <w:bCs/>
              </w:rPr>
              <w:t xml:space="preserve">~$45 million</w:t>
            </w:r>
          </w:p>
        </w:tc>
      </w:tr>
    </w:tbl>
    <w:p>
      <w:pPr>
        <w:pStyle w:val="BodyText"/>
      </w:pPr>
      <w:r>
        <w:t xml:space="preserve">The company entered the quarter expecting seasonal Appalachian curtailments. Consequently, production near the bottom of the range would not necessarily be negative if it reflects economically disciplined curtailment rather than operational problems. (</w:t>
      </w:r>
      <w:hyperlink r:id="rId12">
        <w:r>
          <w:rPr>
            <w:rStyle w:val="Hyperlink"/>
          </w:rPr>
          <w:t xml:space="preserve">investors.expandenergy.com</w:t>
        </w:r>
      </w:hyperlink>
      <w:r>
        <w:t xml:space="preserve">)</w:t>
      </w:r>
    </w:p>
    <w:p>
      <w:pPr>
        <w:pStyle w:val="BodyText"/>
      </w:pPr>
      <w:r>
        <w:t xml:space="preserve">For the full year, management’s prior framework called for:</w:t>
      </w:r>
    </w:p>
    <w:p>
      <w:pPr>
        <w:pStyle w:val="Compact"/>
        <w:numPr>
          <w:ilvl w:val="0"/>
          <w:numId w:val="1002"/>
        </w:numPr>
      </w:pPr>
      <w:r>
        <w:rPr>
          <w:b/>
          <w:bCs/>
        </w:rPr>
        <w:t xml:space="preserve">7.4–7.6 Bcfe/d</w:t>
      </w:r>
      <w:r>
        <w:t xml:space="preserve"> </w:t>
      </w:r>
      <w:r>
        <w:t xml:space="preserve">of production, or approximately 7.5 Bcfe/d at the midpoint.</w:t>
      </w:r>
    </w:p>
    <w:p>
      <w:pPr>
        <w:pStyle w:val="Compact"/>
        <w:numPr>
          <w:ilvl w:val="0"/>
          <w:numId w:val="1002"/>
        </w:numPr>
      </w:pPr>
      <m:oMath>
        <m:r>
          <m:t>2.75</m:t>
        </m:r>
        <m:r>
          <m:rPr>
            <m:sty m:val="p"/>
          </m:rPr>
          <m:t>–</m:t>
        </m:r>
      </m:oMath>
      <w:r>
        <w:rPr>
          <w:b/>
          <w:bCs/>
        </w:rPr>
        <w:t xml:space="preserve">2.95 billion</w:t>
      </w:r>
      <w:r>
        <w:t xml:space="preserve"> </w:t>
      </w:r>
      <w:r>
        <w:t xml:space="preserve">of capital expenditures.</w:t>
      </w:r>
    </w:p>
    <w:p>
      <w:pPr>
        <w:pStyle w:val="Compact"/>
        <w:numPr>
          <w:ilvl w:val="0"/>
          <w:numId w:val="1002"/>
        </w:numPr>
      </w:pPr>
      <w:r>
        <w:t xml:space="preserve">11–12 operated rigs.</w:t>
      </w:r>
    </w:p>
    <w:p>
      <w:pPr>
        <w:pStyle w:val="Compact"/>
        <w:numPr>
          <w:ilvl w:val="0"/>
          <w:numId w:val="1002"/>
        </w:numPr>
      </w:pPr>
      <w:r>
        <w:t xml:space="preserve">205–235 gross wells turned in line.</w:t>
      </w:r>
    </w:p>
    <w:p>
      <w:pPr>
        <w:pStyle w:val="Compact"/>
        <w:numPr>
          <w:ilvl w:val="0"/>
          <w:numId w:val="1002"/>
        </w:numPr>
      </w:pPr>
      <w:r>
        <w:t xml:space="preserve">Production expense of</w:t>
      </w:r>
      <w:r>
        <w:t xml:space="preserve"> </w:t>
      </w:r>
      <m:oMath>
        <m:r>
          <m:t>0.23</m:t>
        </m:r>
        <m:r>
          <m:rPr>
            <m:sty m:val="p"/>
          </m:rPr>
          <m:t>–</m:t>
        </m:r>
      </m:oMath>
      <w:r>
        <w:rPr>
          <w:b/>
          <w:bCs/>
        </w:rPr>
        <w:t xml:space="preserve">0.28/Mcfe</w:t>
      </w:r>
      <w:r>
        <w:t xml:space="preserve">.</w:t>
      </w:r>
    </w:p>
    <w:p>
      <w:pPr>
        <w:pStyle w:val="Compact"/>
        <w:numPr>
          <w:ilvl w:val="0"/>
          <w:numId w:val="1002"/>
        </w:numPr>
      </w:pPr>
      <w:r>
        <w:t xml:space="preserve">GP&amp;T expense, excluding the merger-related fair-value liability, of</w:t>
      </w:r>
      <w:r>
        <w:t xml:space="preserve"> </w:t>
      </w:r>
      <m:oMath>
        <m:r>
          <m:t>0.95</m:t>
        </m:r>
        <m:r>
          <m:rPr>
            <m:sty m:val="p"/>
          </m:rPr>
          <m:t>–</m:t>
        </m:r>
      </m:oMath>
      <w:r>
        <w:rPr>
          <w:b/>
          <w:bCs/>
        </w:rPr>
        <w:t xml:space="preserve">1.05/Mcfe</w:t>
      </w:r>
      <w:r>
        <w:t xml:space="preserve">. (</w:t>
      </w:r>
      <w:hyperlink r:id="rId13">
        <w:r>
          <w:rPr>
            <w:rStyle w:val="Hyperlink"/>
          </w:rPr>
          <w:t xml:space="preserve">sec.gov</w:t>
        </w:r>
      </w:hyperlink>
      <w:r>
        <w:t xml:space="preserve">)</w:t>
      </w:r>
    </w:p>
    <w:bookmarkEnd w:id="14"/>
    <w:bookmarkEnd w:id="15"/>
    <w:bookmarkStart w:id="21" w:name="what-matters-most"/>
    <w:p>
      <w:pPr>
        <w:pStyle w:val="Heading2"/>
      </w:pPr>
      <w:r>
        <w:t xml:space="preserve">What matters most</w:t>
      </w:r>
    </w:p>
    <w:bookmarkStart w:id="16" w:name="X515f58daff9d91d70f9101143718300934cf14e"/>
    <w:p>
      <w:pPr>
        <w:pStyle w:val="Heading3"/>
      </w:pPr>
      <w:r>
        <w:t xml:space="preserve">1. Production discipline and the second-half outlook</w:t>
      </w:r>
    </w:p>
    <w:p>
      <w:pPr>
        <w:pStyle w:val="FirstParagraph"/>
      </w:pPr>
      <w:r>
        <w:t xml:space="preserve">EXE produced</w:t>
      </w:r>
      <w:r>
        <w:t xml:space="preserve"> </w:t>
      </w:r>
      <w:r>
        <w:rPr>
          <w:b/>
          <w:bCs/>
        </w:rPr>
        <w:t xml:space="preserve">7.44 Bcfe/d</w:t>
      </w:r>
      <w:r>
        <w:t xml:space="preserve"> </w:t>
      </w:r>
      <w:r>
        <w:t xml:space="preserve">in the first quarter and guided to essentially flat second-quarter output despite a meaningful sequential shift between regions. Northeast Appalachia was expected to decline because of seasonal curtailments, while Southwest Appalachia volumes were projected to rebound.</w:t>
      </w:r>
    </w:p>
    <w:p>
      <w:pPr>
        <w:pStyle w:val="BodyText"/>
      </w:pPr>
      <w:r>
        <w:t xml:space="preserve">Investors should focus on:</w:t>
      </w:r>
    </w:p>
    <w:p>
      <w:pPr>
        <w:pStyle w:val="Compact"/>
        <w:numPr>
          <w:ilvl w:val="0"/>
          <w:numId w:val="1003"/>
        </w:numPr>
      </w:pPr>
      <w:r>
        <w:t xml:space="preserve">Whether actual production falls within the 7.4–7.5 Bcfe/d range.</w:t>
      </w:r>
    </w:p>
    <w:p>
      <w:pPr>
        <w:pStyle w:val="Compact"/>
        <w:numPr>
          <w:ilvl w:val="0"/>
          <w:numId w:val="1003"/>
        </w:numPr>
      </w:pPr>
      <w:r>
        <w:t xml:space="preserve">The amount and economics of Appalachian curtailments.</w:t>
      </w:r>
    </w:p>
    <w:p>
      <w:pPr>
        <w:pStyle w:val="Compact"/>
        <w:numPr>
          <w:ilvl w:val="0"/>
          <w:numId w:val="1003"/>
        </w:numPr>
      </w:pPr>
      <w:r>
        <w:t xml:space="preserve">Whether management still expects modest production growth in the third and fourth quarters.</w:t>
      </w:r>
    </w:p>
    <w:p>
      <w:pPr>
        <w:pStyle w:val="Compact"/>
        <w:numPr>
          <w:ilvl w:val="0"/>
          <w:numId w:val="1003"/>
        </w:numPr>
      </w:pPr>
      <w:r>
        <w:t xml:space="preserve">Any change to the 2026 rig or completion schedule.</w:t>
      </w:r>
    </w:p>
    <w:p>
      <w:pPr>
        <w:pStyle w:val="Compact"/>
        <w:numPr>
          <w:ilvl w:val="0"/>
          <w:numId w:val="1003"/>
        </w:numPr>
      </w:pPr>
      <w:r>
        <w:t xml:space="preserve">Whether lower gas prices are prompting additional deferred turn-in-lines or completion delays.</w:t>
      </w:r>
    </w:p>
    <w:p>
      <w:pPr>
        <w:pStyle w:val="FirstParagraph"/>
      </w:pPr>
      <w:r>
        <w:t xml:space="preserve">A guidance reduction driven by deliberate price-responsive curtailments would be less concerning than a reduction caused by well performance, downtime or capital inefficiency. Conversely, production above guidance is not automatically bullish if it comes into an oversupplied market without adequate price protection.</w:t>
      </w:r>
    </w:p>
    <w:bookmarkEnd w:id="16"/>
    <w:bookmarkStart w:id="18" w:name="Xb92165ed7bae4410a528b02bdca0efd09e4657f"/>
    <w:p>
      <w:pPr>
        <w:pStyle w:val="Heading3"/>
      </w:pPr>
      <w:r>
        <w:t xml:space="preserve">2. Capital efficiency</w:t>
      </w:r>
    </w:p>
    <w:p>
      <w:pPr>
        <w:pStyle w:val="FirstParagraph"/>
      </w:pPr>
      <w:r>
        <w:t xml:space="preserve">Second-quarter capital was expected to be the annual high point because of front-loaded drilling and completion work, leasehold spending and seasonal workovers. That makes the</w:t>
      </w:r>
      <w:r>
        <w:t xml:space="preserve"> </w:t>
      </w:r>
      <m:oMath>
        <m:r>
          <m:t>770</m:t>
        </m:r>
        <m:r>
          <m:rPr>
            <m:sty m:val="p"/>
          </m:rPr>
          <m:t>–</m:t>
        </m:r>
      </m:oMath>
      <w:r>
        <w:rPr>
          <w:b/>
          <w:bCs/>
        </w:rPr>
        <w:t xml:space="preserve">845 million</w:t>
      </w:r>
      <w:r>
        <w:t xml:space="preserve"> </w:t>
      </w:r>
      <w:r>
        <w:t xml:space="preserve">range an important test.</w:t>
      </w:r>
    </w:p>
    <w:p>
      <w:pPr>
        <w:pStyle w:val="BodyText"/>
      </w:pPr>
      <w:r>
        <w:t xml:space="preserve">The strongest outcome would be:</w:t>
      </w:r>
    </w:p>
    <w:p>
      <w:pPr>
        <w:pStyle w:val="Compact"/>
        <w:numPr>
          <w:ilvl w:val="0"/>
          <w:numId w:val="1004"/>
        </w:numPr>
      </w:pPr>
      <w:r>
        <w:t xml:space="preserve">Production at or above the midpoint.</w:t>
      </w:r>
    </w:p>
    <w:p>
      <w:pPr>
        <w:pStyle w:val="Compact"/>
        <w:numPr>
          <w:ilvl w:val="0"/>
          <w:numId w:val="1004"/>
        </w:numPr>
      </w:pPr>
      <w:r>
        <w:t xml:space="preserve">Capital at or below the midpoint.</w:t>
      </w:r>
    </w:p>
    <w:p>
      <w:pPr>
        <w:pStyle w:val="Compact"/>
        <w:numPr>
          <w:ilvl w:val="0"/>
          <w:numId w:val="1004"/>
        </w:numPr>
      </w:pPr>
      <w:r>
        <w:t xml:space="preserve">Full-year capex maintained or tightened toward the lower half.</w:t>
      </w:r>
    </w:p>
    <w:p>
      <w:pPr>
        <w:pStyle w:val="Compact"/>
        <w:numPr>
          <w:ilvl w:val="0"/>
          <w:numId w:val="1004"/>
        </w:numPr>
      </w:pPr>
      <w:r>
        <w:t xml:space="preserve">Continued improvement in Haynesville drilling costs and productivity.</w:t>
      </w:r>
    </w:p>
    <w:p>
      <w:pPr>
        <w:pStyle w:val="FirstParagraph"/>
      </w:pPr>
      <w:r>
        <w:t xml:space="preserve">Management previously projected approximately</w:t>
      </w:r>
      <w:r>
        <w:t xml:space="preserve"> </w:t>
      </w:r>
      <w:r>
        <w:rPr>
          <w:b/>
          <w:bCs/>
        </w:rPr>
        <w:t xml:space="preserve">900 Mcfe per lateral foot</w:t>
      </w:r>
      <w:r>
        <w:t xml:space="preserve"> </w:t>
      </w:r>
      <w:r>
        <w:t xml:space="preserve">of Haynesville productivity for 2026 and said its first Western Haynesville well was encouraging. Investors will want quantitative evidence on that appraisal program rather than another qualitative “early but promising” update. (</w:t>
      </w:r>
      <w:hyperlink r:id="rId17">
        <w:r>
          <w:rPr>
            <w:rStyle w:val="Hyperlink"/>
          </w:rPr>
          <w:t xml:space="preserve">investors.expandenergy.com</w:t>
        </w:r>
      </w:hyperlink>
      <w:r>
        <w:t xml:space="preserve">)</w:t>
      </w:r>
    </w:p>
    <w:bookmarkEnd w:id="18"/>
    <w:bookmarkStart w:id="19" w:name="X6cd197f5146a6f706eef1a615b88e8c94fccf70"/>
    <w:p>
      <w:pPr>
        <w:pStyle w:val="Heading3"/>
      </w:pPr>
      <w:r>
        <w:t xml:space="preserve">3. Realized gas prices and hedges</w:t>
      </w:r>
    </w:p>
    <w:p>
      <w:pPr>
        <w:pStyle w:val="FirstParagraph"/>
      </w:pPr>
      <w:r>
        <w:t xml:space="preserve">The spring gas market was weak, but EXE entered the quarter with meaningful protection. As of April 21, it had approximately</w:t>
      </w:r>
      <w:r>
        <w:t xml:space="preserve"> </w:t>
      </w:r>
      <w:r>
        <w:rPr>
          <w:b/>
          <w:bCs/>
        </w:rPr>
        <w:t xml:space="preserve">437 Bcf of second-quarter gas hedged</w:t>
      </w:r>
      <w:r>
        <w:t xml:space="preserve">, with a roughly</w:t>
      </w:r>
      <w:r>
        <w:t xml:space="preserve"> </w:t>
      </w:r>
      <m:oMath>
        <m:r>
          <m:t>3.59</m:t>
        </m:r>
        <m:r>
          <m:rPr>
            <m:sty m:val="p"/>
          </m:rPr>
          <m:t>/</m:t>
        </m:r>
        <m:r>
          <m:t>M</m:t>
        </m:r>
        <m:r>
          <m:t>M</m:t>
        </m:r>
        <m:r>
          <m:t>B</m:t>
        </m:r>
        <m:r>
          <m:t>t</m:t>
        </m:r>
        <m:r>
          <m:t>u</m:t>
        </m:r>
        <m:r>
          <m:t>f</m:t>
        </m:r>
        <m:r>
          <m:t>l</m:t>
        </m:r>
        <m:r>
          <m:t>o</m:t>
        </m:r>
        <m:r>
          <m:t>o</m:t>
        </m:r>
        <m:r>
          <m:t>r</m:t>
        </m:r>
        <m:r>
          <m:rPr>
            <m:sty m:val="p"/>
          </m:rPr>
          <m:t>*</m:t>
        </m:r>
        <m:r>
          <m:rPr>
            <m:sty m:val="p"/>
          </m:rPr>
          <m:t>*</m:t>
        </m:r>
        <m:r>
          <m:t>a</m:t>
        </m:r>
        <m:r>
          <m:t>n</m:t>
        </m:r>
        <m:r>
          <m:t>d</m:t>
        </m:r>
        <m:r>
          <m:rPr>
            <m:sty m:val="p"/>
          </m:rPr>
          <m:t>*</m:t>
        </m:r>
        <m:r>
          <m:rPr>
            <m:sty m:val="p"/>
          </m:rPr>
          <m:t>*</m:t>
        </m:r>
      </m:oMath>
      <w:r>
        <w:rPr>
          <w:b/>
          <w:bCs/>
        </w:rPr>
        <w:t xml:space="preserve">4.21 ceiling</w:t>
      </w:r>
      <w:r>
        <w:t xml:space="preserve">, compared with a then-current strip price of approximately $2.88.</w:t>
      </w:r>
    </w:p>
    <w:p>
      <w:pPr>
        <w:pStyle w:val="BodyText"/>
      </w:pPr>
      <w:r>
        <w:t xml:space="preserve">Across 2026, management said about</w:t>
      </w:r>
      <w:r>
        <w:t xml:space="preserve"> </w:t>
      </w:r>
      <w:r>
        <w:rPr>
          <w:b/>
          <w:bCs/>
        </w:rPr>
        <w:t xml:space="preserve">66% of expected natural-gas production was hedged</w:t>
      </w:r>
      <w:r>
        <w:t xml:space="preserve">, primarily through structures designed to protect the downside while retaining some upside. (</w:t>
      </w:r>
      <w:hyperlink r:id="rId17">
        <w:r>
          <w:rPr>
            <w:rStyle w:val="Hyperlink"/>
          </w:rPr>
          <w:t xml:space="preserve">investors.expandenergy.com</w:t>
        </w:r>
      </w:hyperlink>
      <w:r>
        <w:t xml:space="preserve">)</w:t>
      </w:r>
    </w:p>
    <w:p>
      <w:pPr>
        <w:pStyle w:val="BodyText"/>
      </w:pPr>
      <w:r>
        <w:t xml:space="preserve">Key items to examine:</w:t>
      </w:r>
    </w:p>
    <w:p>
      <w:pPr>
        <w:pStyle w:val="Compact"/>
        <w:numPr>
          <w:ilvl w:val="0"/>
          <w:numId w:val="1005"/>
        </w:numPr>
      </w:pPr>
      <w:r>
        <w:t xml:space="preserve">Realized gas price including derivatives.</w:t>
      </w:r>
    </w:p>
    <w:p>
      <w:pPr>
        <w:pStyle w:val="Compact"/>
        <w:numPr>
          <w:ilvl w:val="0"/>
          <w:numId w:val="1005"/>
        </w:numPr>
      </w:pPr>
      <w:r>
        <w:t xml:space="preserve">Basis deductions by operating region.</w:t>
      </w:r>
    </w:p>
    <w:p>
      <w:pPr>
        <w:pStyle w:val="Compact"/>
        <w:numPr>
          <w:ilvl w:val="0"/>
          <w:numId w:val="1005"/>
        </w:numPr>
      </w:pPr>
      <w:r>
        <w:t xml:space="preserve">Cash hedge settlements versus unrealized derivative gains or losses.</w:t>
      </w:r>
    </w:p>
    <w:p>
      <w:pPr>
        <w:pStyle w:val="Compact"/>
        <w:numPr>
          <w:ilvl w:val="0"/>
          <w:numId w:val="1005"/>
        </w:numPr>
      </w:pPr>
      <w:r>
        <w:t xml:space="preserve">Changes to 2027 hedge volumes.</w:t>
      </w:r>
    </w:p>
    <w:p>
      <w:pPr>
        <w:pStyle w:val="Compact"/>
        <w:numPr>
          <w:ilvl w:val="0"/>
          <w:numId w:val="1005"/>
        </w:numPr>
      </w:pPr>
      <w:r>
        <w:t xml:space="preserve">Whether management has taken advantage of volatility to restructure or extend protection.</w:t>
      </w:r>
    </w:p>
    <w:p>
      <w:pPr>
        <w:pStyle w:val="FirstParagraph"/>
      </w:pPr>
      <w:r>
        <w:t xml:space="preserve">The headline GAAP EPS number may be noisy because of derivative marks.</w:t>
      </w:r>
      <w:r>
        <w:t xml:space="preserve"> </w:t>
      </w:r>
      <w:r>
        <w:rPr>
          <w:b/>
          <w:bCs/>
        </w:rPr>
        <w:t xml:space="preserve">Adjusted earnings, realized prices and operating cash flow are more informative.</w:t>
      </w:r>
    </w:p>
    <w:bookmarkEnd w:id="19"/>
    <w:bookmarkStart w:id="20" w:name="X1300473fbd87148eb4595fce9735581c73cbf1f"/>
    <w:p>
      <w:pPr>
        <w:pStyle w:val="Heading3"/>
      </w:pPr>
      <w:r>
        <w:t xml:space="preserve">4. Marketing earnings: repeatable or episodic?</w:t>
      </w:r>
    </w:p>
    <w:p>
      <w:pPr>
        <w:pStyle w:val="FirstParagraph"/>
      </w:pPr>
      <w:r>
        <w:t xml:space="preserve">The first quarter produced a</w:t>
      </w:r>
      <w:r>
        <w:t xml:space="preserve"> </w:t>
      </w:r>
      <w:r>
        <w:rPr>
          <w:b/>
          <w:bCs/>
        </w:rPr>
        <w:t xml:space="preserve">$91 million marketing margin</w:t>
      </w:r>
      <w:r>
        <w:t xml:space="preserve">, versus a loss in the prior-year period. Management attributed roughly $90 million of incremental value to volatility and optimization, while acknowledging that some of the benefit reflected unusual market conditions.</w:t>
      </w:r>
    </w:p>
    <w:p>
      <w:pPr>
        <w:pStyle w:val="BodyText"/>
      </w:pPr>
      <w:r>
        <w:t xml:space="preserve">Before Twin Eagle, EXE targeted approximately</w:t>
      </w:r>
      <w:r>
        <w:t xml:space="preserve"> </w:t>
      </w:r>
      <m:oMath>
        <m:r>
          <m:t>500</m:t>
        </m:r>
        <m:r>
          <m:t>m</m:t>
        </m:r>
        <m:r>
          <m:t>i</m:t>
        </m:r>
        <m:r>
          <m:t>l</m:t>
        </m:r>
        <m:r>
          <m:t>l</m:t>
        </m:r>
        <m:r>
          <m:t>i</m:t>
        </m:r>
        <m:r>
          <m:t>o</m:t>
        </m:r>
        <m:r>
          <m:t>n</m:t>
        </m:r>
        <m:r>
          <m:t>o</m:t>
        </m:r>
        <m:r>
          <m:t>f</m:t>
        </m:r>
        <m:r>
          <m:t>a</m:t>
        </m:r>
        <m:r>
          <m:t>n</m:t>
        </m:r>
        <m:r>
          <m:t>n</m:t>
        </m:r>
        <m:r>
          <m:t>u</m:t>
        </m:r>
        <m:r>
          <m:t>a</m:t>
        </m:r>
        <m:r>
          <m:t>l</m:t>
        </m:r>
        <m:r>
          <m:t>i</m:t>
        </m:r>
        <m:r>
          <m:t>n</m:t>
        </m:r>
        <m:r>
          <m:t>c</m:t>
        </m:r>
        <m:r>
          <m:t>r</m:t>
        </m:r>
        <m:r>
          <m:t>e</m:t>
        </m:r>
        <m:r>
          <m:t>m</m:t>
        </m:r>
        <m:r>
          <m:t>e</m:t>
        </m:r>
        <m:r>
          <m:t>n</m:t>
        </m:r>
        <m:r>
          <m:t>t</m:t>
        </m:r>
        <m:r>
          <m:t>a</m:t>
        </m:r>
        <m:r>
          <m:t>l</m:t>
        </m:r>
        <m:r>
          <m:t>f</m:t>
        </m:r>
        <m:r>
          <m:t>r</m:t>
        </m:r>
        <m:r>
          <m:t>e</m:t>
        </m:r>
        <m:r>
          <m:t>e</m:t>
        </m:r>
        <m:r>
          <m:t>c</m:t>
        </m:r>
        <m:r>
          <m:t>a</m:t>
        </m:r>
        <m:r>
          <m:t>s</m:t>
        </m:r>
        <m:r>
          <m:t>h</m:t>
        </m:r>
        <m:r>
          <m:t>f</m:t>
        </m:r>
        <m:r>
          <m:t>l</m:t>
        </m:r>
        <m:r>
          <m:t>o</m:t>
        </m:r>
        <m:r>
          <m:t>w</m:t>
        </m:r>
        <m:r>
          <m:rPr>
            <m:sty m:val="p"/>
          </m:rPr>
          <m:t>*</m:t>
        </m:r>
        <m:r>
          <m:rPr>
            <m:sty m:val="p"/>
          </m:rPr>
          <m:t>*</m:t>
        </m:r>
        <m:r>
          <m:rPr>
            <m:sty m:val="p"/>
          </m:rPr>
          <m:t>,</m:t>
        </m:r>
        <m:r>
          <m:t>e</m:t>
        </m:r>
        <m:r>
          <m:t>q</m:t>
        </m:r>
        <m:r>
          <m:t>u</m:t>
        </m:r>
        <m:r>
          <m:t>i</m:t>
        </m:r>
        <m:r>
          <m:t>v</m:t>
        </m:r>
        <m:r>
          <m:t>a</m:t>
        </m:r>
        <m:r>
          <m:t>l</m:t>
        </m:r>
        <m:r>
          <m:t>e</m:t>
        </m:r>
        <m:r>
          <m:t>n</m:t>
        </m:r>
        <m:r>
          <m:t>t</m:t>
        </m:r>
        <m:r>
          <m:t>t</m:t>
        </m:r>
        <m:r>
          <m:t>o</m:t>
        </m:r>
        <m:r>
          <m:t>r</m:t>
        </m:r>
        <m:r>
          <m:t>o</m:t>
        </m:r>
        <m:r>
          <m:t>u</m:t>
        </m:r>
        <m:r>
          <m:t>g</m:t>
        </m:r>
        <m:r>
          <m:t>h</m:t>
        </m:r>
        <m:r>
          <m:t>l</m:t>
        </m:r>
        <m:r>
          <m:t>y</m:t>
        </m:r>
        <m:r>
          <m:rPr>
            <m:sty m:val="p"/>
          </m:rPr>
          <m:t>*</m:t>
        </m:r>
        <m:r>
          <m:rPr>
            <m:sty m:val="p"/>
          </m:rPr>
          <m:t>*</m:t>
        </m:r>
      </m:oMath>
      <w:r>
        <w:rPr>
          <w:b/>
          <w:bCs/>
        </w:rPr>
        <w:t xml:space="preserve">0.20/Mcfe</w:t>
      </w:r>
      <w:r>
        <w:t xml:space="preserve">, from:</w:t>
      </w:r>
    </w:p>
    <w:p>
      <w:pPr>
        <w:pStyle w:val="Compact"/>
        <w:numPr>
          <w:ilvl w:val="0"/>
          <w:numId w:val="1006"/>
        </w:numPr>
      </w:pPr>
      <w:r>
        <w:t xml:space="preserve">Reaching premium markets.</w:t>
      </w:r>
    </w:p>
    <w:p>
      <w:pPr>
        <w:pStyle w:val="Compact"/>
        <w:numPr>
          <w:ilvl w:val="0"/>
          <w:numId w:val="1006"/>
        </w:numPr>
      </w:pPr>
      <w:r>
        <w:t xml:space="preserve">Monetizing volatility.</w:t>
      </w:r>
    </w:p>
    <w:p>
      <w:pPr>
        <w:pStyle w:val="Compact"/>
        <w:numPr>
          <w:ilvl w:val="0"/>
          <w:numId w:val="1006"/>
        </w:numPr>
      </w:pPr>
      <w:r>
        <w:t xml:space="preserve">Facilitating and capturing new demand.</w:t>
      </w:r>
    </w:p>
    <w:p>
      <w:pPr>
        <w:pStyle w:val="FirstParagraph"/>
      </w:pPr>
      <w:r>
        <w:t xml:space="preserve">The crucial second-quarter question is how much marketing value persisted after the winter volatility passed. A meaningful positive margin during a more ordinary quarter would support the argument that EXE is building a durable commercial platform. A sharp reversal would suggest the first-quarter benefit was less repeatable than management implied.</w:t>
      </w:r>
    </w:p>
    <w:bookmarkEnd w:id="20"/>
    <w:bookmarkEnd w:id="21"/>
    <w:bookmarkStart w:id="24" w:name="twin-eagle-changes-the-conversation"/>
    <w:p>
      <w:pPr>
        <w:pStyle w:val="Heading2"/>
      </w:pPr>
      <w:r>
        <w:t xml:space="preserve">Twin Eagle changes the conversation</w:t>
      </w:r>
    </w:p>
    <w:p>
      <w:pPr>
        <w:pStyle w:val="FirstParagraph"/>
      </w:pPr>
      <w:r>
        <w:t xml:space="preserve">On July 27, EXE agreed to acquire Twin Eagle for</w:t>
      </w:r>
      <w:r>
        <w:t xml:space="preserve"> </w:t>
      </w:r>
      <w:r>
        <w:rPr>
          <w:b/>
          <w:bCs/>
        </w:rPr>
        <w:t xml:space="preserve">$1.25 billion in cash</w:t>
      </w:r>
      <w:r>
        <w:t xml:space="preserve">, funded through cash on hand and revolving-credit borrowings. Closing is expected in the third quarter, subject to approvals.</w:t>
      </w:r>
    </w:p>
    <w:p>
      <w:pPr>
        <w:pStyle w:val="BodyText"/>
      </w:pPr>
      <w:r>
        <w:t xml:space="preserve">Management expects Twin Eagle to contribute:</w:t>
      </w:r>
    </w:p>
    <w:p>
      <w:pPr>
        <w:pStyle w:val="Compact"/>
        <w:numPr>
          <w:ilvl w:val="0"/>
          <w:numId w:val="1007"/>
        </w:numPr>
      </w:pPr>
      <w:r>
        <w:t xml:space="preserve">More than</w:t>
      </w:r>
      <w:r>
        <w:t xml:space="preserve"> </w:t>
      </w:r>
      <w:r>
        <w:rPr>
          <w:b/>
          <w:bCs/>
        </w:rPr>
        <w:t xml:space="preserve">$200 million of initial annual EBITDA</w:t>
      </w:r>
      <w:r>
        <w:t xml:space="preserve">.</w:t>
      </w:r>
    </w:p>
    <w:p>
      <w:pPr>
        <w:pStyle w:val="Compact"/>
        <w:numPr>
          <w:ilvl w:val="0"/>
          <w:numId w:val="1007"/>
        </w:numPr>
      </w:pPr>
      <w:r>
        <w:rPr>
          <w:b/>
          <w:bCs/>
        </w:rPr>
        <w:t xml:space="preserve">$150 million of annual synergies by year-end 2028</w:t>
      </w:r>
      <w:r>
        <w:t xml:space="preserve">.</w:t>
      </w:r>
    </w:p>
    <w:p>
      <w:pPr>
        <w:pStyle w:val="Compact"/>
        <w:numPr>
          <w:ilvl w:val="0"/>
          <w:numId w:val="1007"/>
        </w:numPr>
      </w:pPr>
      <w:r>
        <w:t xml:space="preserve">Approximately</w:t>
      </w:r>
      <w:r>
        <w:t xml:space="preserve"> </w:t>
      </w:r>
      <w:r>
        <w:rPr>
          <w:b/>
          <w:bCs/>
        </w:rPr>
        <w:t xml:space="preserve">$350 million of EBITDA after synergies</w:t>
      </w:r>
      <w:r>
        <w:t xml:space="preserve">.</w:t>
      </w:r>
    </w:p>
    <w:p>
      <w:pPr>
        <w:pStyle w:val="Compact"/>
        <w:numPr>
          <w:ilvl w:val="0"/>
          <w:numId w:val="1007"/>
        </w:numPr>
      </w:pPr>
      <w:r>
        <w:t xml:space="preserve">An increase in EXE’s marketing and commercial free-cash-flow target from</w:t>
      </w:r>
      <w:r>
        <w:t xml:space="preserve"> </w:t>
      </w:r>
      <w:r>
        <w:rPr>
          <w:b/>
          <w:bCs/>
        </w:rPr>
        <w:t xml:space="preserve">$500 million to $750 million annually</w:t>
      </w:r>
      <w:r>
        <w:t xml:space="preserve">. (</w:t>
      </w:r>
      <w:hyperlink r:id="rId22">
        <w:r>
          <w:rPr>
            <w:rStyle w:val="Hyperlink"/>
          </w:rPr>
          <w:t xml:space="preserve">investors.expandenergy.com</w:t>
        </w:r>
      </w:hyperlink>
      <w:r>
        <w:t xml:space="preserve">)</w:t>
      </w:r>
    </w:p>
    <w:p>
      <w:pPr>
        <w:pStyle w:val="FirstParagraph"/>
      </w:pPr>
      <w:r>
        <w:t xml:space="preserve">The combined platform would have approximately:</w:t>
      </w:r>
    </w:p>
    <w:p>
      <w:pPr>
        <w:pStyle w:val="Compact"/>
        <w:numPr>
          <w:ilvl w:val="0"/>
          <w:numId w:val="1008"/>
        </w:numPr>
      </w:pPr>
      <w:r>
        <w:rPr>
          <w:b/>
          <w:bCs/>
        </w:rPr>
        <w:t xml:space="preserve">14 Bcf/d</w:t>
      </w:r>
      <w:r>
        <w:t xml:space="preserve"> </w:t>
      </w:r>
      <w:r>
        <w:t xml:space="preserve">of marketed gas volume.</w:t>
      </w:r>
    </w:p>
    <w:p>
      <w:pPr>
        <w:pStyle w:val="Compact"/>
        <w:numPr>
          <w:ilvl w:val="0"/>
          <w:numId w:val="1008"/>
        </w:numPr>
      </w:pPr>
      <w:r>
        <w:rPr>
          <w:b/>
          <w:bCs/>
        </w:rPr>
        <w:t xml:space="preserve">9 Bcf/d</w:t>
      </w:r>
      <w:r>
        <w:t xml:space="preserve"> </w:t>
      </w:r>
      <w:r>
        <w:t xml:space="preserve">of firm transportation.</w:t>
      </w:r>
    </w:p>
    <w:p>
      <w:pPr>
        <w:pStyle w:val="Compact"/>
        <w:numPr>
          <w:ilvl w:val="0"/>
          <w:numId w:val="1008"/>
        </w:numPr>
      </w:pPr>
      <w:r>
        <w:rPr>
          <w:b/>
          <w:bCs/>
        </w:rPr>
        <w:t xml:space="preserve">49 Bcf</w:t>
      </w:r>
      <w:r>
        <w:t xml:space="preserve"> </w:t>
      </w:r>
      <w:r>
        <w:t xml:space="preserve">of storage capacity.</w:t>
      </w:r>
    </w:p>
    <w:p>
      <w:pPr>
        <w:pStyle w:val="Compact"/>
        <w:numPr>
          <w:ilvl w:val="0"/>
          <w:numId w:val="1008"/>
        </w:numPr>
      </w:pPr>
      <w:r>
        <w:t xml:space="preserve">More than 1,000 Twin Eagle customers across the United States and Canada. (</w:t>
      </w:r>
      <w:hyperlink r:id="rId22">
        <w:r>
          <w:rPr>
            <w:rStyle w:val="Hyperlink"/>
          </w:rPr>
          <w:t xml:space="preserve">investors.expandenergy.com</w:t>
        </w:r>
      </w:hyperlink>
      <w:r>
        <w:t xml:space="preserve">)</w:t>
      </w:r>
    </w:p>
    <w:bookmarkStart w:id="23" w:name="questions-management-needs-to-answer"/>
    <w:p>
      <w:pPr>
        <w:pStyle w:val="Heading3"/>
      </w:pPr>
      <w:r>
        <w:t xml:space="preserve">Questions management needs to answer</w:t>
      </w:r>
    </w:p>
    <w:p>
      <w:pPr>
        <w:numPr>
          <w:ilvl w:val="0"/>
          <w:numId w:val="1009"/>
        </w:numPr>
      </w:pPr>
      <w:r>
        <w:rPr>
          <w:b/>
          <w:bCs/>
        </w:rPr>
        <w:t xml:space="preserve">What is the acquisition multiple?</w:t>
      </w:r>
      <w:r>
        <w:br/>
      </w:r>
      <w:r>
        <w:t xml:space="preserve">The headline price represents about</w:t>
      </w:r>
      <w:r>
        <w:t xml:space="preserve"> </w:t>
      </w:r>
      <w:r>
        <w:rPr>
          <w:b/>
          <w:bCs/>
        </w:rPr>
        <w:t xml:space="preserve">6.25× initial EBITDA</w:t>
      </w:r>
      <w:r>
        <w:t xml:space="preserve"> </w:t>
      </w:r>
      <w:r>
        <w:t xml:space="preserve">and roughly</w:t>
      </w:r>
      <w:r>
        <w:t xml:space="preserve"> </w:t>
      </w:r>
      <w:r>
        <w:rPr>
          <w:b/>
          <w:bCs/>
        </w:rPr>
        <w:t xml:space="preserve">3.6× post-synergy EBITDA</w:t>
      </w:r>
      <w:r>
        <w:t xml:space="preserve">, before considering taxes, interest and integration costs.</w:t>
      </w:r>
    </w:p>
    <w:p>
      <w:pPr>
        <w:numPr>
          <w:ilvl w:val="0"/>
          <w:numId w:val="1009"/>
        </w:numPr>
      </w:pPr>
      <w:r>
        <w:rPr>
          <w:b/>
          <w:bCs/>
        </w:rPr>
        <w:t xml:space="preserve">How much revolver debt will be required?</w:t>
      </w:r>
      <w:r>
        <w:br/>
      </w:r>
      <w:r>
        <w:t xml:space="preserve">EXE ended March with $2.22 billion of cash, but subsequently spent approximately $1.3 billion redeeming debt and continued paying dividends and repurchasing shares.</w:t>
      </w:r>
    </w:p>
    <w:p>
      <w:pPr>
        <w:numPr>
          <w:ilvl w:val="0"/>
          <w:numId w:val="1009"/>
        </w:numPr>
      </w:pPr>
      <w:r>
        <w:rPr>
          <w:b/>
          <w:bCs/>
        </w:rPr>
        <w:t xml:space="preserve">What happens to buybacks?</w:t>
      </w:r>
      <w:r>
        <w:br/>
      </w:r>
      <w:r>
        <w:t xml:space="preserve">Management previously suggested that, after meeting its debt-reduction target, more free cash flow could shift toward repurchases. The acquisition may temporarily reverse that shift.</w:t>
      </w:r>
    </w:p>
    <w:p>
      <w:pPr>
        <w:numPr>
          <w:ilvl w:val="0"/>
          <w:numId w:val="1009"/>
        </w:numPr>
      </w:pPr>
      <w:r>
        <w:rPr>
          <w:b/>
          <w:bCs/>
        </w:rPr>
        <w:t xml:space="preserve">Are the synergies incremental?</w:t>
      </w:r>
      <w:r>
        <w:br/>
      </w:r>
      <w:r>
        <w:t xml:space="preserve">Investors need clarity on how the $150 million synergy target relates to EXE’s pre-existing $500 million commercial target and whether any benefits are being counted twice.</w:t>
      </w:r>
    </w:p>
    <w:p>
      <w:pPr>
        <w:numPr>
          <w:ilvl w:val="0"/>
          <w:numId w:val="1009"/>
        </w:numPr>
      </w:pPr>
      <w:r>
        <w:rPr>
          <w:b/>
          <w:bCs/>
        </w:rPr>
        <w:t xml:space="preserve">What risks are being added?</w:t>
      </w:r>
      <w:r>
        <w:br/>
      </w:r>
      <w:r>
        <w:t xml:space="preserve">Physical marketing can produce durable, fee-like earnings, but it also introduces working-capital requirements, counterparty exposure, operational complexity and risk-management demands.</w:t>
      </w:r>
    </w:p>
    <w:bookmarkEnd w:id="23"/>
    <w:bookmarkEnd w:id="24"/>
    <w:bookmarkStart w:id="25" w:name="balance-sheet-and-shareholder-returns"/>
    <w:p>
      <w:pPr>
        <w:pStyle w:val="Heading2"/>
      </w:pPr>
      <w:r>
        <w:t xml:space="preserve">Balance sheet and shareholder returns</w:t>
      </w:r>
    </w:p>
    <w:p>
      <w:pPr>
        <w:pStyle w:val="FirstParagraph"/>
      </w:pPr>
      <w:r>
        <w:t xml:space="preserve">EXE’s first quarter was exceptionally cash-generative:</w:t>
      </w:r>
    </w:p>
    <w:p>
      <w:pPr>
        <w:pStyle w:val="Compact"/>
        <w:numPr>
          <w:ilvl w:val="0"/>
          <w:numId w:val="1010"/>
        </w:numPr>
      </w:pPr>
      <w:r>
        <w:rPr>
          <w:b/>
          <w:bCs/>
        </w:rPr>
        <w:t xml:space="preserve">$2.40 billion</w:t>
      </w:r>
      <w:r>
        <w:t xml:space="preserve"> </w:t>
      </w:r>
      <w:r>
        <w:t xml:space="preserve">of operating cash flow.</w:t>
      </w:r>
    </w:p>
    <w:p>
      <w:pPr>
        <w:pStyle w:val="Compact"/>
        <w:numPr>
          <w:ilvl w:val="0"/>
          <w:numId w:val="1010"/>
        </w:numPr>
      </w:pPr>
      <w:r>
        <w:rPr>
          <w:b/>
          <w:bCs/>
        </w:rPr>
        <w:t xml:space="preserve">$1.70 billion</w:t>
      </w:r>
      <w:r>
        <w:t xml:space="preserve"> </w:t>
      </w:r>
      <w:r>
        <w:t xml:space="preserve">of adjusted free cash flow, including working-capital benefits.</w:t>
      </w:r>
    </w:p>
    <w:p>
      <w:pPr>
        <w:pStyle w:val="Compact"/>
        <w:numPr>
          <w:ilvl w:val="0"/>
          <w:numId w:val="1010"/>
        </w:numPr>
      </w:pPr>
      <w:r>
        <w:rPr>
          <w:b/>
          <w:bCs/>
        </w:rPr>
        <w:t xml:space="preserve">$2.8 billion</w:t>
      </w:r>
      <w:r>
        <w:t xml:space="preserve"> </w:t>
      </w:r>
      <w:r>
        <w:t xml:space="preserve">of quarter-end net debt.</w:t>
      </w:r>
    </w:p>
    <w:p>
      <w:pPr>
        <w:pStyle w:val="Compact"/>
        <w:numPr>
          <w:ilvl w:val="0"/>
          <w:numId w:val="1010"/>
        </w:numPr>
      </w:pPr>
      <w:r>
        <w:t xml:space="preserve">Approximately</w:t>
      </w:r>
      <w:r>
        <w:t xml:space="preserve"> </w:t>
      </w:r>
      <w:r>
        <w:rPr>
          <w:b/>
          <w:bCs/>
        </w:rPr>
        <w:t xml:space="preserve">$1.3 billion</w:t>
      </w:r>
      <w:r>
        <w:t xml:space="preserve"> </w:t>
      </w:r>
      <w:r>
        <w:t xml:space="preserve">of debt redeemed in April.</w:t>
      </w:r>
    </w:p>
    <w:p>
      <w:pPr>
        <w:pStyle w:val="Compact"/>
        <w:numPr>
          <w:ilvl w:val="0"/>
          <w:numId w:val="1010"/>
        </w:numPr>
      </w:pPr>
      <w:r>
        <w:rPr>
          <w:b/>
          <w:bCs/>
        </w:rPr>
        <w:t xml:space="preserve">$150 million</w:t>
      </w:r>
      <w:r>
        <w:t xml:space="preserve"> </w:t>
      </w:r>
      <w:r>
        <w:t xml:space="preserve">of stock repurchased through April 24.</w:t>
      </w:r>
    </w:p>
    <w:p>
      <w:pPr>
        <w:pStyle w:val="Compact"/>
        <w:numPr>
          <w:ilvl w:val="0"/>
          <w:numId w:val="1010"/>
        </w:numPr>
      </w:pPr>
      <w:r>
        <w:t xml:space="preserve">A quarterly base dividend of</w:t>
      </w:r>
      <w:r>
        <w:t xml:space="preserve"> </w:t>
      </w:r>
      <w:r>
        <w:rPr>
          <w:b/>
          <w:bCs/>
        </w:rPr>
        <w:t xml:space="preserve">$0.575 per share</w:t>
      </w:r>
      <w:r>
        <w:t xml:space="preserve">. (</w:t>
      </w:r>
      <w:hyperlink r:id="rId13">
        <w:r>
          <w:rPr>
            <w:rStyle w:val="Hyperlink"/>
          </w:rPr>
          <w:t xml:space="preserve">sec.gov</w:t>
        </w:r>
      </w:hyperlink>
      <w:r>
        <w:t xml:space="preserve">)</w:t>
      </w:r>
    </w:p>
    <w:p>
      <w:pPr>
        <w:pStyle w:val="FirstParagraph"/>
      </w:pPr>
      <w:r>
        <w:t xml:space="preserve">The second quarter should normalize materially from the winter-boosted first quarter. Investors should separate underlying free cash flow from working-capital movements and watch for any acquisition-related change to EXE’s investment-grade balance-sheet priorities.</w:t>
      </w:r>
    </w:p>
    <w:p>
      <w:pPr>
        <w:pStyle w:val="BodyText"/>
      </w:pPr>
      <w:r>
        <w:t xml:space="preserve">Maintaining the dividend should not be in question. The real issue is whether repurchases pause while EXE funds and integrates Twin Eagle.</w:t>
      </w:r>
    </w:p>
    <w:bookmarkEnd w:id="25"/>
    <w:bookmarkStart w:id="26" w:name="Xcfc910fbc5b91fd1564d4e2a0fb4975f26c20f7"/>
    <w:p>
      <w:pPr>
        <w:pStyle w:val="Heading2"/>
      </w:pPr>
      <w:r>
        <w:t xml:space="preserve">Leadership remains an underappreciated issue</w:t>
      </w:r>
    </w:p>
    <w:p>
      <w:pPr>
        <w:pStyle w:val="FirstParagraph"/>
      </w:pPr>
      <w:r>
        <w:t xml:space="preserve">Michael Wichterich remains interim president and CEO following the February leadership change. At the April call, he indicated that the CEO search remained on the original roughly six-month timeline.</w:t>
      </w:r>
    </w:p>
    <w:p>
      <w:pPr>
        <w:pStyle w:val="BodyText"/>
      </w:pPr>
      <w:r>
        <w:t xml:space="preserve">The Twin Eagle acquisition is a significant strategic commitment under interim leadership. Investors should listen for:</w:t>
      </w:r>
    </w:p>
    <w:p>
      <w:pPr>
        <w:pStyle w:val="Compact"/>
        <w:numPr>
          <w:ilvl w:val="0"/>
          <w:numId w:val="1011"/>
        </w:numPr>
      </w:pPr>
      <w:r>
        <w:t xml:space="preserve">An updated CEO-search timeline.</w:t>
      </w:r>
    </w:p>
    <w:p>
      <w:pPr>
        <w:pStyle w:val="Compact"/>
        <w:numPr>
          <w:ilvl w:val="0"/>
          <w:numId w:val="1011"/>
        </w:numPr>
      </w:pPr>
      <w:r>
        <w:t xml:space="preserve">Whether the board is considering internal and external candidates.</w:t>
      </w:r>
    </w:p>
    <w:p>
      <w:pPr>
        <w:pStyle w:val="Compact"/>
        <w:numPr>
          <w:ilvl w:val="0"/>
          <w:numId w:val="1011"/>
        </w:numPr>
      </w:pPr>
      <w:r>
        <w:t xml:space="preserve">Who will have direct responsibility for Twin Eagle integration.</w:t>
      </w:r>
    </w:p>
    <w:p>
      <w:pPr>
        <w:pStyle w:val="Compact"/>
        <w:numPr>
          <w:ilvl w:val="0"/>
          <w:numId w:val="1011"/>
        </w:numPr>
      </w:pPr>
      <w:r>
        <w:t xml:space="preserve">Whether Twin Eagle management will receive meaningful autonomy.</w:t>
      </w:r>
    </w:p>
    <w:p>
      <w:pPr>
        <w:pStyle w:val="Compact"/>
        <w:numPr>
          <w:ilvl w:val="0"/>
          <w:numId w:val="1011"/>
        </w:numPr>
      </w:pPr>
      <w:r>
        <w:t xml:space="preserve">How the acquisition affects EXE’s longer-term organizational structure.</w:t>
      </w:r>
    </w:p>
    <w:bookmarkEnd w:id="26"/>
    <w:bookmarkStart w:id="30" w:name="potential-reaction-framework"/>
    <w:p>
      <w:pPr>
        <w:pStyle w:val="Heading2"/>
      </w:pPr>
      <w:r>
        <w:t xml:space="preserve">Potential reaction framework</w:t>
      </w:r>
    </w:p>
    <w:bookmarkStart w:id="27" w:name="bull-case"/>
    <w:p>
      <w:pPr>
        <w:pStyle w:val="Heading3"/>
      </w:pPr>
      <w:r>
        <w:t xml:space="preserve">Bull case</w:t>
      </w:r>
    </w:p>
    <w:p>
      <w:pPr>
        <w:pStyle w:val="Compact"/>
        <w:numPr>
          <w:ilvl w:val="0"/>
          <w:numId w:val="1012"/>
        </w:numPr>
      </w:pPr>
      <w:r>
        <w:t xml:space="preserve">Production at or above 7.45 Bcfe/d.</w:t>
      </w:r>
    </w:p>
    <w:p>
      <w:pPr>
        <w:pStyle w:val="Compact"/>
        <w:numPr>
          <w:ilvl w:val="0"/>
          <w:numId w:val="1012"/>
        </w:numPr>
      </w:pPr>
      <w:r>
        <w:t xml:space="preserve">Capital below the midpoint.</w:t>
      </w:r>
    </w:p>
    <w:p>
      <w:pPr>
        <w:pStyle w:val="Compact"/>
        <w:numPr>
          <w:ilvl w:val="0"/>
          <w:numId w:val="1012"/>
        </w:numPr>
      </w:pPr>
      <w:r>
        <w:t xml:space="preserve">Full-year production and capex maintained.</w:t>
      </w:r>
    </w:p>
    <w:p>
      <w:pPr>
        <w:pStyle w:val="Compact"/>
        <w:numPr>
          <w:ilvl w:val="0"/>
          <w:numId w:val="1012"/>
        </w:numPr>
      </w:pPr>
      <w:r>
        <w:t xml:space="preserve">Marketing margin remains meaningfully positive.</w:t>
      </w:r>
    </w:p>
    <w:p>
      <w:pPr>
        <w:pStyle w:val="Compact"/>
        <w:numPr>
          <w:ilvl w:val="0"/>
          <w:numId w:val="1012"/>
        </w:numPr>
      </w:pPr>
      <w:r>
        <w:t xml:space="preserve">Additional buybacks despite the acquisition.</w:t>
      </w:r>
    </w:p>
    <w:p>
      <w:pPr>
        <w:pStyle w:val="Compact"/>
        <w:numPr>
          <w:ilvl w:val="0"/>
          <w:numId w:val="1012"/>
        </w:numPr>
      </w:pPr>
      <w:r>
        <w:t xml:space="preserve">Twin Eagle financing leaves leverage comfortably investment-grade.</w:t>
      </w:r>
    </w:p>
    <w:p>
      <w:pPr>
        <w:pStyle w:val="Compact"/>
        <w:numPr>
          <w:ilvl w:val="0"/>
          <w:numId w:val="1012"/>
        </w:numPr>
      </w:pPr>
      <w:r>
        <w:t xml:space="preserve">Quantified progress in Western Haynesville and premium-market contracting.</w:t>
      </w:r>
    </w:p>
    <w:bookmarkEnd w:id="27"/>
    <w:bookmarkStart w:id="28" w:name="base-case"/>
    <w:p>
      <w:pPr>
        <w:pStyle w:val="Heading3"/>
      </w:pPr>
      <w:r>
        <w:t xml:space="preserve">Base case</w:t>
      </w:r>
    </w:p>
    <w:p>
      <w:pPr>
        <w:pStyle w:val="Compact"/>
        <w:numPr>
          <w:ilvl w:val="0"/>
          <w:numId w:val="1013"/>
        </w:numPr>
      </w:pPr>
      <w:r>
        <w:t xml:space="preserve">Production and capital within guidance.</w:t>
      </w:r>
    </w:p>
    <w:p>
      <w:pPr>
        <w:pStyle w:val="Compact"/>
        <w:numPr>
          <w:ilvl w:val="0"/>
          <w:numId w:val="1013"/>
        </w:numPr>
      </w:pPr>
      <w:r>
        <w:t xml:space="preserve">Full-year outlook unchanged.</w:t>
      </w:r>
    </w:p>
    <w:p>
      <w:pPr>
        <w:pStyle w:val="Compact"/>
        <w:numPr>
          <w:ilvl w:val="0"/>
          <w:numId w:val="1013"/>
        </w:numPr>
      </w:pPr>
      <w:r>
        <w:t xml:space="preserve">Adjusted EPS roughly in line.</w:t>
      </w:r>
    </w:p>
    <w:p>
      <w:pPr>
        <w:pStyle w:val="Compact"/>
        <w:numPr>
          <w:ilvl w:val="0"/>
          <w:numId w:val="1013"/>
        </w:numPr>
      </w:pPr>
      <w:r>
        <w:t xml:space="preserve">Marketing margin positive but well below the winter-driven first quarter.</w:t>
      </w:r>
    </w:p>
    <w:p>
      <w:pPr>
        <w:pStyle w:val="Compact"/>
        <w:numPr>
          <w:ilvl w:val="0"/>
          <w:numId w:val="1013"/>
        </w:numPr>
      </w:pPr>
      <w:r>
        <w:t xml:space="preserve">Buybacks temporarily moderated to fund Twin Eagle.</w:t>
      </w:r>
    </w:p>
    <w:p>
      <w:pPr>
        <w:pStyle w:val="Compact"/>
        <w:numPr>
          <w:ilvl w:val="0"/>
          <w:numId w:val="1013"/>
        </w:numPr>
      </w:pPr>
      <w:r>
        <w:t xml:space="preserve">Management reiterates the acquisition targets without materially new details.</w:t>
      </w:r>
    </w:p>
    <w:bookmarkEnd w:id="28"/>
    <w:bookmarkStart w:id="29" w:name="bear-case"/>
    <w:p>
      <w:pPr>
        <w:pStyle w:val="Heading3"/>
      </w:pPr>
      <w:r>
        <w:t xml:space="preserve">Bear case</w:t>
      </w:r>
    </w:p>
    <w:p>
      <w:pPr>
        <w:pStyle w:val="Compact"/>
        <w:numPr>
          <w:ilvl w:val="0"/>
          <w:numId w:val="1014"/>
        </w:numPr>
      </w:pPr>
      <w:r>
        <w:t xml:space="preserve">Production misses because of operational issues rather than elective curtailments.</w:t>
      </w:r>
    </w:p>
    <w:p>
      <w:pPr>
        <w:pStyle w:val="Compact"/>
        <w:numPr>
          <w:ilvl w:val="0"/>
          <w:numId w:val="1014"/>
        </w:numPr>
      </w:pPr>
      <w:r>
        <w:t xml:space="preserve">Full-year capex rises or volumes are reduced.</w:t>
      </w:r>
    </w:p>
    <w:p>
      <w:pPr>
        <w:pStyle w:val="Compact"/>
        <w:numPr>
          <w:ilvl w:val="0"/>
          <w:numId w:val="1014"/>
        </w:numPr>
      </w:pPr>
      <w:r>
        <w:t xml:space="preserve">Weak realized pricing or wider basis deductions overwhelm hedge protection.</w:t>
      </w:r>
    </w:p>
    <w:p>
      <w:pPr>
        <w:pStyle w:val="Compact"/>
        <w:numPr>
          <w:ilvl w:val="0"/>
          <w:numId w:val="1014"/>
        </w:numPr>
      </w:pPr>
      <w:r>
        <w:t xml:space="preserve">Marketing margin reverses sharply.</w:t>
      </w:r>
    </w:p>
    <w:p>
      <w:pPr>
        <w:pStyle w:val="Compact"/>
        <w:numPr>
          <w:ilvl w:val="0"/>
          <w:numId w:val="1014"/>
        </w:numPr>
      </w:pPr>
      <w:r>
        <w:t xml:space="preserve">Twin Eagle requires more borrowing than expected.</w:t>
      </w:r>
    </w:p>
    <w:p>
      <w:pPr>
        <w:pStyle w:val="Compact"/>
        <w:numPr>
          <w:ilvl w:val="0"/>
          <w:numId w:val="1014"/>
        </w:numPr>
      </w:pPr>
      <w:r>
        <w:t xml:space="preserve">Buybacks stop indefinitely.</w:t>
      </w:r>
    </w:p>
    <w:p>
      <w:pPr>
        <w:pStyle w:val="Compact"/>
        <w:numPr>
          <w:ilvl w:val="0"/>
          <w:numId w:val="1014"/>
        </w:numPr>
      </w:pPr>
      <w:r>
        <w:t xml:space="preserve">Limited support for the $150 million synergy target or unclear risk controls.</w:t>
      </w:r>
    </w:p>
    <w:bookmarkEnd w:id="29"/>
    <w:bookmarkEnd w:id="30"/>
    <w:bookmarkStart w:id="31" w:name="bottom-line"/>
    <w:p>
      <w:pPr>
        <w:pStyle w:val="Heading2"/>
      </w:pPr>
      <w:r>
        <w:t xml:space="preserve">Bottom line</w:t>
      </w:r>
    </w:p>
    <w:p>
      <w:pPr>
        <w:pStyle w:val="FirstParagraph"/>
      </w:pPr>
      <w:r>
        <w:rPr>
          <w:b/>
          <w:bCs/>
        </w:rPr>
        <w:t xml:space="preserve">The quarterly EPS comparison is secondary.</w:t>
      </w:r>
      <w:r>
        <w:t xml:space="preserve"> </w:t>
      </w:r>
      <w:r>
        <w:t xml:space="preserve">The most important outcome is whether EXE demonstrates that it can hold approximately 7.5 Bcfe/d of production and its $2.85 billion capital plan while converting scale into better realized margins.</w:t>
      </w:r>
    </w:p>
    <w:p>
      <w:pPr>
        <w:pStyle w:val="BodyText"/>
      </w:pPr>
      <w:r>
        <w:t xml:space="preserve">Twin Eagle potentially strengthens the investment case by making marketing earnings larger and less dependent on production growth. But it also redirects capital, adds execution risk and may delay share repurchases. The best report would combine solid operating execution with credible evidence that both the existing commercial strategy and Twin Eagle can generate durable, risk-controlled free cash flow.</w:t>
      </w:r>
    </w:p>
    <w:p>
      <w:pPr>
        <w:pStyle w:val="BodyText"/>
      </w:pPr>
      <w:r>
        <w:t xml:space="preserve">The decisive metrics will be</w:t>
      </w:r>
      <w:r>
        <w:t xml:space="preserve"> </w:t>
      </w:r>
      <w:r>
        <w:rPr>
          <w:b/>
          <w:bCs/>
        </w:rPr>
        <w:t xml:space="preserve">full-year guidance, second-half activity, normalized marketing margin, pro forma leverage and the updated buyback outlook</w:t>
      </w:r>
      <w:r>
        <w:t xml:space="preserve">—not simply whether adjusted EPS beats a roughly</w:t>
      </w:r>
      <w:r>
        <w:t xml:space="preserve"> </w:t>
      </w:r>
      <m:oMath>
        <m:r>
          <m:t>1.1</m:t>
        </m:r>
        <m:r>
          <m:rPr>
            <m:sty m:val="p"/>
          </m:rPr>
          <m:t>–</m:t>
        </m:r>
      </m:oMath>
      <w:r>
        <w:t xml:space="preserve">1.2 consensus.</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expandenergy.com/news-releases/news-release-details/expand-energy-provides-2026-second-quarter-earnings-conference?utm_source=openai" TargetMode="External" /><Relationship Type="http://schemas.openxmlformats.org/officeDocument/2006/relationships/hyperlink" Id="rId17" Target="https://investors.expandenergy.com/static-files/59ad678f-c6a0-4e25-bb35-18a8fa38de7c" TargetMode="External" /><Relationship Type="http://schemas.openxmlformats.org/officeDocument/2006/relationships/hyperlink" Id="rId22" Target="https://investors.expandenergy.com/static-files/7de5508f-8e12-4983-adb7-388d14865422" TargetMode="External" /><Relationship Type="http://schemas.openxmlformats.org/officeDocument/2006/relationships/hyperlink" Id="rId12" Target="https://investors.expandenergy.com/static-files/f0b63677-95ce-482d-8d8f-d082d18b6bd5" TargetMode="External" /><Relationship Type="http://schemas.openxmlformats.org/officeDocument/2006/relationships/hyperlink" Id="rId11" Target="https://www.barchart.com/stocks/quotes/EXE/earnings-estimates" TargetMode="External" /><Relationship Type="http://schemas.openxmlformats.org/officeDocument/2006/relationships/hyperlink" Id="rId13" Target="https://www.sec.gov/Archives/edgar/data/895126/000089512626000027/exe-ex_991x20260331x8kxpr.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expandenergy.com/news-releases/news-release-details/expand-energy-provides-2026-second-quarter-earnings-conference?utm_source=openai" TargetMode="External" /><Relationship Type="http://schemas.openxmlformats.org/officeDocument/2006/relationships/hyperlink" Id="rId17" Target="https://investors.expandenergy.com/static-files/59ad678f-c6a0-4e25-bb35-18a8fa38de7c" TargetMode="External" /><Relationship Type="http://schemas.openxmlformats.org/officeDocument/2006/relationships/hyperlink" Id="rId22" Target="https://investors.expandenergy.com/static-files/7de5508f-8e12-4983-adb7-388d14865422" TargetMode="External" /><Relationship Type="http://schemas.openxmlformats.org/officeDocument/2006/relationships/hyperlink" Id="rId12" Target="https://investors.expandenergy.com/static-files/f0b63677-95ce-482d-8d8f-d082d18b6bd5" TargetMode="External" /><Relationship Type="http://schemas.openxmlformats.org/officeDocument/2006/relationships/hyperlink" Id="rId11" Target="https://www.barchart.com/stocks/quotes/EXE/earnings-estimates" TargetMode="External" /><Relationship Type="http://schemas.openxmlformats.org/officeDocument/2006/relationships/hyperlink" Id="rId13" Target="https://www.sec.gov/Archives/edgar/data/895126/000089512626000027/exe-ex_991x20260331x8kxpr.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2026-07-28T01:33:46Z</dcterms:created>
  <dcterms:modified xsi:type="dcterms:W3CDTF">2026-07-28T01:33:46Z</dcterms:modified>
</cp:coreProperties>
</file>

<file path=docProps/custom.xml><?xml version="1.0" encoding="utf-8"?>
<Properties xmlns="http://schemas.openxmlformats.org/officeDocument/2006/custom-properties" xmlns:vt="http://schemas.openxmlformats.org/officeDocument/2006/docPropsVTypes"/>
</file>