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xe-earnings-predictions--2026-07-28"/>
    <w:p>
      <w:pPr>
        <w:pStyle w:val="Heading1"/>
      </w:pPr>
      <w:r>
        <w:t xml:space="preserve">EXE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EBITDAX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~$1.53B vs. cons $1.57B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production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~7.48 Bcfe/d vs. cons 7.47 Bcfe/d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Marketing margin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~$58M vs. cons $66M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net-production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~7.50 Bcfe/d vs. cons 7.50 Bcfe/d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capital-expenditure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~$2.85B vs. cons $2.85B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Marketing and commercial incremental free-cash-flow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~$750M vs. cons $750M (annual run-rate, 2026 onward)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Twin Eagle initial annual EBITDA contribution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&gt;</w:t>
            </w:r>
            <m:oMath>
              <m:r>
                <m:t>200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200M (initial post-close annual run-rate)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day-5 residual ~-4.0% vs. day-1 residual ~-2.5%; an operationally intact FY2026 guide is unlikely to offset a softer ~</w:t>
            </w:r>
            <w:r>
              <w:t xml:space="preserve"> </w:t>
            </w:r>
            <m:oMath>
              <m:r>
                <m:t>58</m:t>
              </m:r>
              <m:r>
                <m:t>M</m:t>
              </m:r>
              <m:r>
                <m:t>m</m:t>
              </m:r>
              <m:r>
                <m:t>a</m:t>
              </m:r>
              <m:r>
                <m:t>r</m:t>
              </m:r>
              <m:r>
                <m:t>k</m:t>
              </m:r>
              <m:r>
                <m:t>e</m:t>
              </m:r>
              <m:r>
                <m:t>t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−</m:t>
              </m:r>
              <m:r>
                <m:t>m</m:t>
              </m:r>
              <m:r>
                <m:t>a</m:t>
              </m:r>
              <m:r>
                <m:t>r</m:t>
              </m:r>
              <m:r>
                <m:t>g</m:t>
              </m:r>
              <m:r>
                <m:t>i</m:t>
              </m:r>
              <m:r>
                <m:t>n</m:t>
              </m:r>
              <m:r>
                <m:t>p</m:t>
              </m:r>
              <m:r>
                <m:t>r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66M consensus, while greater scrutiny of Twin Eagle working-capital, leverage, and earnings-quality assumptions should pull out-period cash-flow estimates lower.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2026-07-28T01:32:24Z</dcterms:created>
  <dcterms:modified xsi:type="dcterms:W3CDTF">2026-07-28T01:32:24Z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