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41512805371b137c6eae8f72adc600bfcf451d7"/>
    <w:p>
      <w:pPr>
        <w:pStyle w:val="Heading1"/>
      </w:pPr>
      <w:r>
        <w:t xml:space="preserve">Expand Energy (NASDAQ: EXE) — 2Q26 Earnings Preview</w:t>
      </w:r>
    </w:p>
    <w:p>
      <w:pPr>
        <w:pStyle w:val="BlockText"/>
      </w:pPr>
      <w:r>
        <w:rPr>
          <w:b/>
          <w:bCs/>
        </w:rPr>
        <w:t xml:space="preserve">Timing correction:</w:t>
      </w:r>
      <w:r>
        <w:t xml:space="preserve"> </w:t>
      </w:r>
      <w:r>
        <w:t xml:space="preserve">Expand is scheduled to</w:t>
      </w:r>
      <w:r>
        <w:t xml:space="preserve"> </w:t>
      </w:r>
      <w:r>
        <w:rPr>
          <w:b/>
          <w:bCs/>
        </w:rPr>
        <w:t xml:space="preserve">release 2Q26 results after the market close today, Tuesday, July 28, 2026</w:t>
      </w:r>
      <w:r>
        <w:t xml:space="preserve">. The</w:t>
      </w:r>
      <w:r>
        <w:t xml:space="preserve"> </w:t>
      </w:r>
      <w:r>
        <w:rPr>
          <w:b/>
          <w:bCs/>
        </w:rPr>
        <w:t xml:space="preserve">earnings call is Wednesday, July 29 at 9:00 a.m. ET</w:t>
      </w:r>
      <w:r>
        <w:t xml:space="preserve">—not a July 28 call.</w:t>
      </w:r>
    </w:p>
    <w:bookmarkStart w:id="9" w:name="Xc9c693d50aacd1cd8b0d8ffdb30bbc301677bba"/>
    <w:p>
      <w:pPr>
        <w:pStyle w:val="Heading2"/>
      </w:pPr>
      <w:r>
        <w:t xml:space="preserve">Investment view: earnings matter, but Twin Eagle now sets the agenda</w:t>
      </w:r>
    </w:p>
    <w:p>
      <w:pPr>
        <w:pStyle w:val="FirstParagraph"/>
      </w:pPr>
      <w:r>
        <w:t xml:space="preserve">EXE enters 2Q with a strong operating and balance-sheet foundation, but the central investor question has shifted from quarterly production and free cash flow to whether yesterday’s</w:t>
      </w:r>
      <w:r>
        <w:t xml:space="preserve"> </w:t>
      </w:r>
      <w:r>
        <w:rPr>
          <w:b/>
          <w:bCs/>
        </w:rPr>
        <w:t xml:space="preserve">$1.25 billion acquisition of Twin Eagle</w:t>
      </w:r>
      <w:r>
        <w:t xml:space="preserve"> </w:t>
      </w:r>
      <w:r>
        <w:t xml:space="preserve">can credibly accelerate its transition from a large-scale gas producer to an integrated, asset-backed gas marketer.</w:t>
      </w:r>
    </w:p>
    <w:p>
      <w:pPr>
        <w:pStyle w:val="BodyText"/>
      </w:pPr>
      <w:r>
        <w:t xml:space="preserve">The Q2 report should demonstrate that the base E&amp;P business remains on track—particularly</w:t>
      </w:r>
      <w:r>
        <w:t xml:space="preserve"> </w:t>
      </w:r>
      <w:r>
        <w:rPr>
          <w:b/>
          <w:bCs/>
        </w:rPr>
        <w:t xml:space="preserve">~7.5 Bcfe/d 2026 production</w:t>
      </w:r>
      <w:r>
        <w:t xml:space="preserve">,</w:t>
      </w:r>
      <w:r>
        <w:t xml:space="preserve"> </w:t>
      </w:r>
      <m:oMath>
        <m:r>
          <m:t>2.75</m:t>
        </m:r>
        <m:r>
          <m:rPr>
            <m:sty m:val="p"/>
          </m:rPr>
          <m:t>–</m:t>
        </m:r>
      </m:oMath>
      <w:r>
        <w:rPr>
          <w:b/>
          <w:bCs/>
        </w:rPr>
        <w:t xml:space="preserve">2.95 billion of capex</w:t>
      </w:r>
      <w:r>
        <w:t xml:space="preserve">, and a lower second-half activity profile. But the July 29 call is likely to be dominated by commercial strategy: Twin Eagle’s earnings quality, required financing, synergy path, management retention, risk controls, and the durability of the newly raised</w:t>
      </w:r>
      <w:r>
        <w:t xml:space="preserve"> </w:t>
      </w:r>
      <w:r>
        <w:rPr>
          <w:b/>
          <w:bCs/>
        </w:rPr>
        <w:t xml:space="preserve">$750 million annual marketing/commercial free-cash-flow target</w:t>
      </w:r>
      <w:r>
        <w:t xml:space="preserve">.</w:t>
      </w:r>
    </w:p>
    <w:bookmarkEnd w:id="9"/>
    <w:bookmarkStart w:id="15" w:name="what-investors-will-focus-on"/>
    <w:p>
      <w:pPr>
        <w:pStyle w:val="Heading2"/>
      </w:pPr>
      <w:r>
        <w:t xml:space="preserve">What investors will focus on</w:t>
      </w:r>
    </w:p>
    <w:bookmarkStart w:id="10" w:name="Xbd010b4589ef702cb99b33ba271f5ad4023b583"/>
    <w:p>
      <w:pPr>
        <w:pStyle w:val="Heading3"/>
      </w:pPr>
      <w:r>
        <w:t xml:space="preserve">1. Is the core 2026 plan still intact?</w:t>
      </w:r>
    </w:p>
    <w:p>
      <w:pPr>
        <w:pStyle w:val="FirstParagraph"/>
      </w:pPr>
      <w:r>
        <w:t xml:space="preserve">In Q1, EXE reaffirmed guidance for roughly</w:t>
      </w:r>
      <w:r>
        <w:t xml:space="preserve"> </w:t>
      </w:r>
      <w:r>
        <w:rPr>
          <w:b/>
          <w:bCs/>
        </w:rPr>
        <w:t xml:space="preserve">7.5 Bcfe/d</w:t>
      </w:r>
      <w:r>
        <w:t xml:space="preserve"> </w:t>
      </w:r>
      <w:r>
        <w:t xml:space="preserve">of daily production on approximately</w:t>
      </w:r>
      <w:r>
        <w:t xml:space="preserve"> </w:t>
      </w:r>
      <w:r>
        <w:rPr>
          <w:b/>
          <w:bCs/>
        </w:rPr>
        <w:t xml:space="preserve">$2.85 billion</w:t>
      </w:r>
      <w:r>
        <w:t xml:space="preserve"> </w:t>
      </w:r>
      <w:r>
        <w:t xml:space="preserve">of capex, using 11–12 rigs. Q1 production was</w:t>
      </w:r>
      <w:r>
        <w:t xml:space="preserve"> </w:t>
      </w:r>
      <w:r>
        <w:rPr>
          <w:b/>
          <w:bCs/>
        </w:rPr>
        <w:t xml:space="preserve">7.44 Bcfe/d</w:t>
      </w:r>
      <w:r>
        <w:t xml:space="preserve">, with 93% natural gas, placing the company near the full-year production target. Management had indicated that Q2 would be the year’s capex high point, driven by activity timing, leasehold spending, and seasonal workovers, while activity should moderate in the second half.</w:t>
      </w:r>
    </w:p>
    <w:p>
      <w:pPr>
        <w:pStyle w:val="BodyText"/>
      </w:pPr>
      <w:r>
        <w:rPr>
          <w:b/>
          <w:bCs/>
        </w:rPr>
        <w:t xml:space="preserve">Key Q2 read-throughs:</w:t>
      </w:r>
    </w:p>
    <w:p>
      <w:pPr>
        <w:pStyle w:val="Compact"/>
        <w:numPr>
          <w:ilvl w:val="0"/>
          <w:numId w:val="1001"/>
        </w:numPr>
      </w:pPr>
      <w:r>
        <w:t xml:space="preserve">Production versus the ~7.5 Bcfe/d full-year target.</w:t>
      </w:r>
    </w:p>
    <w:p>
      <w:pPr>
        <w:pStyle w:val="Compact"/>
        <w:numPr>
          <w:ilvl w:val="0"/>
          <w:numId w:val="1001"/>
        </w:numPr>
      </w:pPr>
      <w:r>
        <w:t xml:space="preserve">Whether capex remains within the</w:t>
      </w:r>
      <w:r>
        <w:t xml:space="preserve"> </w:t>
      </w:r>
      <m:oMath>
        <m:r>
          <m:t>2.75</m:t>
        </m:r>
        <m:r>
          <m:rPr>
            <m:sty m:val="p"/>
          </m:rPr>
          <m:t>–</m:t>
        </m:r>
      </m:oMath>
      <w:r>
        <w:t xml:space="preserve">2.95 billion range despite higher diesel/service-cost pressure.</w:t>
      </w:r>
    </w:p>
    <w:p>
      <w:pPr>
        <w:pStyle w:val="Compact"/>
        <w:numPr>
          <w:ilvl w:val="0"/>
          <w:numId w:val="1001"/>
        </w:numPr>
      </w:pPr>
      <w:r>
        <w:t xml:space="preserve">Any revisions to second-half completions, turn-in-lines, or deferred-production capacity.</w:t>
      </w:r>
    </w:p>
    <w:p>
      <w:pPr>
        <w:pStyle w:val="Compact"/>
        <w:numPr>
          <w:ilvl w:val="0"/>
          <w:numId w:val="1001"/>
        </w:numPr>
      </w:pPr>
      <w:r>
        <w:t xml:space="preserve">Western Haynesville appraisal progress—especially well productivity, costs, and the pace of further delineation.</w:t>
      </w:r>
    </w:p>
    <w:p>
      <w:pPr>
        <w:pStyle w:val="FirstParagraph"/>
      </w:pPr>
      <w:r>
        <w:t xml:space="preserve">The constructive outcome is unchanged full-year guidance coupled with evidence that Q2 represented a planned capex peak rather than cost creep.</w:t>
      </w:r>
    </w:p>
    <w:bookmarkEnd w:id="10"/>
    <w:bookmarkStart w:id="11" w:name="X72c25d1fec97361933037231972b088e264d3b0"/>
    <w:p>
      <w:pPr>
        <w:pStyle w:val="Heading3"/>
      </w:pPr>
      <w:r>
        <w:t xml:space="preserve">2. Cash flow quality versus a volatile gas market</w:t>
      </w:r>
    </w:p>
    <w:p>
      <w:pPr>
        <w:pStyle w:val="FirstParagraph"/>
      </w:pPr>
      <w:r>
        <w:t xml:space="preserve">Q1 was very strong: EXE generated</w:t>
      </w:r>
      <w:r>
        <w:t xml:space="preserve"> </w:t>
      </w:r>
      <m:oMath>
        <m:r>
          <m:t>1.97</m:t>
        </m:r>
        <m:r>
          <m:t>b</m:t>
        </m:r>
        <m:r>
          <m:t>i</m:t>
        </m:r>
        <m:r>
          <m:t>l</m:t>
        </m:r>
        <m:r>
          <m:t>l</m:t>
        </m:r>
        <m:r>
          <m:t>i</m:t>
        </m:r>
        <m:r>
          <m:t>o</m:t>
        </m:r>
        <m:r>
          <m:t>n</m:t>
        </m:r>
        <m:r>
          <m:t>o</m:t>
        </m:r>
        <m:r>
          <m:t>f</m:t>
        </m:r>
        <m:r>
          <m:t>a</m:t>
        </m:r>
        <m:r>
          <m:t>d</m:t>
        </m:r>
        <m:r>
          <m:t>j</m:t>
        </m:r>
        <m:r>
          <m:t>u</m:t>
        </m:r>
        <m:r>
          <m:t>s</m:t>
        </m:r>
        <m:r>
          <m:t>t</m:t>
        </m:r>
        <m:r>
          <m:t>e</m:t>
        </m:r>
        <m:r>
          <m:t>d</m:t>
        </m:r>
        <m:r>
          <m:t>E</m:t>
        </m:r>
        <m:r>
          <m:t>B</m:t>
        </m:r>
        <m:r>
          <m:t>I</m:t>
        </m:r>
        <m:r>
          <m:t>T</m:t>
        </m:r>
        <m:r>
          <m:t>D</m:t>
        </m:r>
        <m:r>
          <m:t>A</m:t>
        </m:r>
        <m:r>
          <m:t>X</m:t>
        </m:r>
        <m:r>
          <m:rPr>
            <m:sty m:val="p"/>
          </m:rPr>
          <m:t>*</m:t>
        </m:r>
        <m:r>
          <m:rPr>
            <m:sty m:val="p"/>
          </m:rPr>
          <m:t>*</m:t>
        </m:r>
        <m:r>
          <m:t>a</m:t>
        </m:r>
        <m:r>
          <m:t>n</m:t>
        </m:r>
        <m:r>
          <m:t>d</m:t>
        </m:r>
        <m:r>
          <m:rPr>
            <m:sty m:val="p"/>
          </m:rPr>
          <m:t>*</m:t>
        </m:r>
        <m:r>
          <m:rPr>
            <m:sty m:val="p"/>
          </m:rPr>
          <m:t>*</m:t>
        </m:r>
      </m:oMath>
      <w:r>
        <w:rPr>
          <w:b/>
          <w:bCs/>
        </w:rPr>
        <w:t xml:space="preserve">1.70 billion of adjusted free cash flow</w:t>
      </w:r>
      <w:r>
        <w:t xml:space="preserve">, although working-capital inflows helped reported operating cash flow. Its realized natural-gas price was</w:t>
      </w:r>
      <w:r>
        <w:t xml:space="preserve"> </w:t>
      </w:r>
      <m:oMath>
        <m:r>
          <m:t>4.92</m:t>
        </m:r>
        <m:r>
          <m:rPr>
            <m:sty m:val="p"/>
          </m:rPr>
          <m:t>/</m:t>
        </m:r>
        <m:r>
          <m:t>M</m:t>
        </m:r>
        <m:r>
          <m:t>c</m:t>
        </m:r>
        <m:r>
          <m:t>f</m:t>
        </m:r>
        <m:r>
          <m:rPr>
            <m:sty m:val="p"/>
          </m:rPr>
          <m:t>*</m:t>
        </m:r>
        <m:r>
          <m:rPr>
            <m:sty m:val="p"/>
          </m:rPr>
          <m:t>*</m:t>
        </m:r>
        <m:r>
          <m:t>b</m:t>
        </m:r>
        <m:r>
          <m:t>e</m:t>
        </m:r>
        <m:r>
          <m:t>f</m:t>
        </m:r>
        <m:r>
          <m:t>o</m:t>
        </m:r>
        <m:r>
          <m:t>r</m:t>
        </m:r>
        <m:r>
          <m:t>e</m:t>
        </m:r>
        <m:r>
          <m:t>r</m:t>
        </m:r>
        <m:r>
          <m:t>e</m:t>
        </m:r>
        <m:r>
          <m:t>a</m:t>
        </m:r>
        <m:r>
          <m:t>l</m:t>
        </m:r>
        <m:r>
          <m:t>i</m:t>
        </m:r>
        <m:r>
          <m:t>z</m:t>
        </m:r>
        <m:r>
          <m:t>e</m:t>
        </m:r>
        <m:r>
          <m:t>d</m:t>
        </m:r>
        <m:r>
          <m:t>d</m:t>
        </m:r>
        <m:r>
          <m:t>e</m:t>
        </m:r>
        <m:r>
          <m:t>r</m:t>
        </m:r>
        <m:r>
          <m:t>i</m:t>
        </m:r>
        <m:r>
          <m:t>v</m:t>
        </m:r>
        <m:r>
          <m:t>a</m:t>
        </m:r>
        <m:r>
          <m:t>t</m:t>
        </m:r>
        <m:r>
          <m:t>i</m:t>
        </m:r>
        <m:r>
          <m:t>v</m:t>
        </m:r>
        <m:r>
          <m:t>e</m:t>
        </m:r>
        <m:r>
          <m:t>s</m:t>
        </m:r>
        <m:r>
          <m:rPr>
            <m:sty m:val="p"/>
          </m:rPr>
          <m:t>,</m:t>
        </m:r>
        <m:r>
          <m:t>w</m:t>
        </m:r>
        <m:r>
          <m:t>h</m:t>
        </m:r>
        <m:r>
          <m:t>i</m:t>
        </m:r>
        <m:r>
          <m:t>l</m:t>
        </m:r>
        <m:r>
          <m:t>e</m:t>
        </m:r>
        <m:r>
          <m:t>r</m:t>
        </m:r>
        <m:r>
          <m:t>e</m:t>
        </m:r>
        <m:r>
          <m:t>a</m:t>
        </m:r>
        <m:r>
          <m:t>l</m:t>
        </m:r>
        <m:r>
          <m:t>i</m:t>
        </m:r>
        <m:r>
          <m:t>z</m:t>
        </m:r>
        <m:r>
          <m:t>e</m:t>
        </m:r>
        <m:r>
          <m:t>d</m:t>
        </m:r>
        <m:r>
          <m:t>g</m:t>
        </m:r>
        <m:r>
          <m:t>a</m:t>
        </m:r>
        <m:r>
          <m:t>s</m:t>
        </m:r>
        <m:r>
          <m:t>p</m:t>
        </m:r>
        <m:r>
          <m:t>r</m:t>
        </m:r>
        <m:r>
          <m:t>i</m:t>
        </m:r>
        <m:r>
          <m:t>c</m:t>
        </m:r>
        <m:r>
          <m:t>e</m:t>
        </m:r>
        <m:r>
          <m:t>i</m:t>
        </m:r>
        <m:r>
          <m:t>n</m:t>
        </m:r>
        <m:r>
          <m:t>c</m:t>
        </m:r>
        <m:r>
          <m:t>l</m:t>
        </m:r>
        <m:r>
          <m:t>u</m:t>
        </m:r>
        <m:r>
          <m:t>d</m:t>
        </m:r>
        <m:r>
          <m:t>i</m:t>
        </m:r>
        <m:r>
          <m:t>n</m:t>
        </m:r>
        <m:r>
          <m:t>g</m:t>
        </m:r>
        <m:r>
          <m:t>d</m:t>
        </m:r>
        <m:r>
          <m:t>e</m:t>
        </m:r>
        <m:r>
          <m:t>r</m:t>
        </m:r>
        <m:r>
          <m:t>i</m:t>
        </m:r>
        <m:r>
          <m:t>v</m:t>
        </m:r>
        <m:r>
          <m:t>a</m:t>
        </m:r>
        <m:r>
          <m:t>t</m:t>
        </m:r>
        <m:r>
          <m:t>i</m:t>
        </m:r>
        <m:r>
          <m:t>v</m:t>
        </m:r>
        <m:r>
          <m:t>e</m:t>
        </m:r>
        <m:r>
          <m:t>s</m:t>
        </m:r>
        <m:r>
          <m:t>w</m:t>
        </m:r>
        <m:r>
          <m:t>a</m:t>
        </m:r>
        <m:r>
          <m:t>s</m:t>
        </m:r>
        <m:r>
          <m:rPr>
            <m:sty m:val="p"/>
          </m:rPr>
          <m:t>*</m:t>
        </m:r>
        <m:r>
          <m:rPr>
            <m:sty m:val="p"/>
          </m:rPr>
          <m:t>*</m:t>
        </m:r>
      </m:oMath>
      <w:r>
        <w:rPr>
          <w:b/>
          <w:bCs/>
        </w:rPr>
        <w:t xml:space="preserve">4.28/Mcf</w:t>
      </w:r>
      <w:r>
        <w:t xml:space="preserve">.</w:t>
      </w:r>
    </w:p>
    <w:p>
      <w:pPr>
        <w:pStyle w:val="BodyText"/>
      </w:pPr>
      <w:r>
        <w:t xml:space="preserve">That distinction is important going into Q2. EXE’s hedge program protects cash flow but can mute upside when gas prices rise. At the end of Q1, management said that more than</w:t>
      </w:r>
      <w:r>
        <w:t xml:space="preserve"> </w:t>
      </w:r>
      <w:r>
        <w:rPr>
          <w:b/>
          <w:bCs/>
        </w:rPr>
        <w:t xml:space="preserve">65% of projected gas volumes through year-end 2026</w:t>
      </w:r>
      <w:r>
        <w:t xml:space="preserve"> </w:t>
      </w:r>
      <w:r>
        <w:t xml:space="preserve">were protected by its hedge structure, which preserves some upside through collars and three-way collars.</w:t>
      </w:r>
    </w:p>
    <w:p>
      <w:pPr>
        <w:pStyle w:val="BodyText"/>
      </w:pPr>
      <w:r>
        <w:t xml:space="preserve">Investors should look beyond GAAP EPS—which can be heavily affected by unrealized derivative marks—and focus on:</w:t>
      </w:r>
    </w:p>
    <w:p>
      <w:pPr>
        <w:pStyle w:val="Compact"/>
        <w:numPr>
          <w:ilvl w:val="0"/>
          <w:numId w:val="1002"/>
        </w:numPr>
      </w:pPr>
      <w:r>
        <w:rPr>
          <w:b/>
          <w:bCs/>
        </w:rPr>
        <w:t xml:space="preserve">Adjusted EBITDAX and free cash flow</w:t>
      </w:r>
    </w:p>
    <w:p>
      <w:pPr>
        <w:pStyle w:val="Compact"/>
        <w:numPr>
          <w:ilvl w:val="0"/>
          <w:numId w:val="1002"/>
        </w:numPr>
      </w:pPr>
      <w:r>
        <w:rPr>
          <w:b/>
          <w:bCs/>
        </w:rPr>
        <w:t xml:space="preserve">Realized price including hedges</w:t>
      </w:r>
    </w:p>
    <w:p>
      <w:pPr>
        <w:pStyle w:val="Compact"/>
        <w:numPr>
          <w:ilvl w:val="0"/>
          <w:numId w:val="1002"/>
        </w:numPr>
      </w:pPr>
      <w:r>
        <w:t xml:space="preserve">Cash derivative settlements versus non-cash mark-to-market effects</w:t>
      </w:r>
    </w:p>
    <w:p>
      <w:pPr>
        <w:pStyle w:val="Compact"/>
        <w:numPr>
          <w:ilvl w:val="0"/>
          <w:numId w:val="1002"/>
        </w:numPr>
      </w:pPr>
      <w:r>
        <w:t xml:space="preserve">Marketing margin and working-capital movements</w:t>
      </w:r>
    </w:p>
    <w:p>
      <w:pPr>
        <w:pStyle w:val="Compact"/>
        <w:numPr>
          <w:ilvl w:val="0"/>
          <w:numId w:val="1002"/>
        </w:numPr>
      </w:pPr>
      <w:r>
        <w:t xml:space="preserve">The implied free-cash-flow outlook after the base dividend, capex, and the Twin Eagle transaction</w:t>
      </w:r>
    </w:p>
    <w:bookmarkEnd w:id="11"/>
    <w:bookmarkStart w:id="12" w:name="X5f19020dff19a6ca40624acf8fc183043b7e13f"/>
    <w:p>
      <w:pPr>
        <w:pStyle w:val="Heading3"/>
      </w:pPr>
      <w:r>
        <w:t xml:space="preserve">3. Marketing execution: the Q2 proof point before the Twin Eagle deal</w:t>
      </w:r>
    </w:p>
    <w:p>
      <w:pPr>
        <w:pStyle w:val="FirstParagraph"/>
      </w:pPr>
      <w:r>
        <w:t xml:space="preserve">EXE generated a</w:t>
      </w:r>
      <w:r>
        <w:t xml:space="preserve"> </w:t>
      </w:r>
      <m:oMath>
        <m:r>
          <m:t>91</m:t>
        </m:r>
        <m:r>
          <m:t>m</m:t>
        </m:r>
        <m:r>
          <m:t>i</m:t>
        </m:r>
        <m:r>
          <m:t>l</m:t>
        </m:r>
        <m:r>
          <m:t>l</m:t>
        </m:r>
        <m:r>
          <m:t>i</m:t>
        </m:r>
        <m:r>
          <m:t>o</m:t>
        </m:r>
        <m:r>
          <m:t>n</m:t>
        </m:r>
        <m:r>
          <m:t>m</m:t>
        </m:r>
        <m:r>
          <m:t>a</m:t>
        </m:r>
        <m:r>
          <m:t>r</m:t>
        </m:r>
        <m:r>
          <m:t>k</m:t>
        </m:r>
        <m:r>
          <m:t>e</m:t>
        </m:r>
        <m:r>
          <m:t>t</m:t>
        </m:r>
        <m:r>
          <m:t>i</m:t>
        </m:r>
        <m:r>
          <m:t>n</m:t>
        </m:r>
        <m:r>
          <m:t>g</m:t>
        </m:r>
        <m:r>
          <m:t>m</m:t>
        </m:r>
        <m:r>
          <m:t>a</m:t>
        </m:r>
        <m:r>
          <m:t>r</m:t>
        </m:r>
        <m:r>
          <m:t>g</m:t>
        </m:r>
        <m:r>
          <m:t>i</m:t>
        </m:r>
        <m:r>
          <m:t>n</m:t>
        </m:r>
        <m:r>
          <m:t>i</m:t>
        </m:r>
        <m:r>
          <m:t>n</m:t>
        </m:r>
        <m:r>
          <m:t>Q</m:t>
        </m:r>
        <m:r>
          <m:t>1</m:t>
        </m:r>
        <m:r>
          <m:rPr>
            <m:sty m:val="p"/>
          </m:rPr>
          <m:t>*</m:t>
        </m:r>
        <m:r>
          <m:rPr>
            <m:sty m:val="p"/>
          </m:rPr>
          <m:t>*</m:t>
        </m:r>
        <m:r>
          <m:rPr>
            <m:sty m:val="p"/>
          </m:rPr>
          <m:t>,</m:t>
        </m:r>
        <m:r>
          <m:t>a</m:t>
        </m:r>
        <m:r>
          <m:t>i</m:t>
        </m:r>
        <m:r>
          <m:t>d</m:t>
        </m:r>
        <m:r>
          <m:t>e</m:t>
        </m:r>
        <m:r>
          <m:t>d</m:t>
        </m:r>
        <m:r>
          <m:t>b</m:t>
        </m:r>
        <m:r>
          <m:t>y</m:t>
        </m:r>
        <m:r>
          <m:t>n</m:t>
        </m:r>
        <m:r>
          <m:t>a</m:t>
        </m:r>
        <m:r>
          <m:t>t</m:t>
        </m:r>
        <m:r>
          <m:t>u</m:t>
        </m:r>
        <m:r>
          <m:t>r</m:t>
        </m:r>
        <m:r>
          <m:t>a</m:t>
        </m:r>
        <m:r>
          <m:t>l</m:t>
        </m:r>
        <m:r>
          <m:rPr>
            <m:sty m:val="p"/>
          </m:rPr>
          <m:t>−</m:t>
        </m:r>
        <m:r>
          <m:t>g</m:t>
        </m:r>
        <m:r>
          <m:t>a</m:t>
        </m:r>
        <m:r>
          <m:t>s</m:t>
        </m:r>
        <m:r>
          <m:t>v</m:t>
        </m:r>
        <m:r>
          <m:t>o</m:t>
        </m:r>
        <m:r>
          <m:t>l</m:t>
        </m:r>
        <m:r>
          <m:t>a</m:t>
        </m:r>
        <m:r>
          <m:t>t</m:t>
        </m:r>
        <m:r>
          <m:t>i</m:t>
        </m:r>
        <m:r>
          <m:t>l</m:t>
        </m:r>
        <m:r>
          <m:t>i</m:t>
        </m:r>
        <m:r>
          <m:t>t</m:t>
        </m:r>
        <m:r>
          <m:t>y</m:t>
        </m:r>
        <m:r>
          <m:t>a</m:t>
        </m:r>
        <m:r>
          <m:t>n</m:t>
        </m:r>
        <m:r>
          <m:t>d</m:t>
        </m:r>
        <m:r>
          <m:t>o</m:t>
        </m:r>
        <m:r>
          <m:t>p</m:t>
        </m:r>
        <m:r>
          <m:t>t</m:t>
        </m:r>
        <m:r>
          <m:t>i</m:t>
        </m:r>
        <m:r>
          <m:t>m</m:t>
        </m:r>
        <m:r>
          <m:t>i</m:t>
        </m:r>
        <m:r>
          <m:t>z</m:t>
        </m:r>
        <m:r>
          <m:t>a</m:t>
        </m:r>
        <m:r>
          <m:t>t</m:t>
        </m:r>
        <m:r>
          <m:t>i</m:t>
        </m:r>
        <m:r>
          <m:t>o</m:t>
        </m:r>
        <m:r>
          <m:t>n</m:t>
        </m:r>
        <m:r>
          <m:t>a</m:t>
        </m:r>
        <m:r>
          <m:t>c</m:t>
        </m:r>
        <m:r>
          <m:t>t</m:t>
        </m:r>
        <m:r>
          <m:t>i</m:t>
        </m:r>
        <m:r>
          <m:t>v</m:t>
        </m:r>
        <m:r>
          <m:t>i</m:t>
        </m:r>
        <m:r>
          <m:t>t</m:t>
        </m:r>
        <m:r>
          <m:t>y</m:t>
        </m:r>
        <m:r>
          <m:rPr>
            <m:sty m:val="p"/>
          </m:rPr>
          <m:t>.</m:t>
        </m:r>
        <m:r>
          <m:t>M</m:t>
        </m:r>
        <m:r>
          <m:t>a</m:t>
        </m:r>
        <m:r>
          <m:t>n</m:t>
        </m:r>
        <m:r>
          <m:t>a</m:t>
        </m:r>
        <m:r>
          <m:t>g</m:t>
        </m:r>
        <m:r>
          <m:t>e</m:t>
        </m:r>
        <m:r>
          <m:t>m</m:t>
        </m:r>
        <m:r>
          <m:t>e</m:t>
        </m:r>
        <m:r>
          <m:t>n</m:t>
        </m:r>
        <m:r>
          <m:t>t</m:t>
        </m:r>
        <m:r>
          <m:t>p</m:t>
        </m:r>
        <m:r>
          <m:t>r</m:t>
        </m:r>
        <m:r>
          <m:t>e</m:t>
        </m:r>
        <m:r>
          <m:t>v</m:t>
        </m:r>
        <m:r>
          <m:t>i</m:t>
        </m:r>
        <m:r>
          <m:t>o</m:t>
        </m:r>
        <m:r>
          <m:t>u</m:t>
        </m:r>
        <m:r>
          <m:t>s</m:t>
        </m:r>
        <m:r>
          <m:t>l</m:t>
        </m:r>
        <m:r>
          <m:t>y</m:t>
        </m:r>
        <m:r>
          <m:t>f</m:t>
        </m:r>
        <m:r>
          <m:t>r</m:t>
        </m:r>
        <m:r>
          <m:t>a</m:t>
        </m:r>
        <m:r>
          <m:t>m</m:t>
        </m:r>
        <m:r>
          <m:t>e</m:t>
        </m:r>
        <m:r>
          <m:t>d</m:t>
        </m:r>
        <m:r>
          <m:t>i</m:t>
        </m:r>
        <m:r>
          <m:t>t</m:t>
        </m:r>
        <m:r>
          <m:t>s</m:t>
        </m:r>
        <m:r>
          <m:t>s</m:t>
        </m:r>
        <m:r>
          <m:t>t</m:t>
        </m:r>
        <m:r>
          <m:t>a</m:t>
        </m:r>
        <m:r>
          <m:t>n</m:t>
        </m:r>
        <m:r>
          <m:t>d</m:t>
        </m:r>
        <m:r>
          <m:t>a</m:t>
        </m:r>
        <m:r>
          <m:t>l</m:t>
        </m:r>
        <m:r>
          <m:t>o</m:t>
        </m:r>
        <m:r>
          <m:t>n</m:t>
        </m:r>
        <m:r>
          <m:t>e</m:t>
        </m:r>
        <m:r>
          <m:t>c</m:t>
        </m:r>
        <m:r>
          <m:t>o</m:t>
        </m:r>
        <m:r>
          <m:t>m</m:t>
        </m:r>
        <m:r>
          <m:t>m</m:t>
        </m:r>
        <m:r>
          <m:t>e</m:t>
        </m:r>
        <m:r>
          <m:t>r</m:t>
        </m:r>
        <m:r>
          <m:t>c</m:t>
        </m:r>
        <m:r>
          <m:t>i</m:t>
        </m:r>
        <m:r>
          <m:t>a</m:t>
        </m:r>
        <m:r>
          <m:t>l</m:t>
        </m:r>
        <m:r>
          <m:t>o</m:t>
        </m:r>
        <m:r>
          <m:t>p</m:t>
        </m:r>
        <m:r>
          <m:t>p</m:t>
        </m:r>
        <m:r>
          <m:t>o</m:t>
        </m:r>
        <m:r>
          <m:t>r</m:t>
        </m:r>
        <m:r>
          <m:t>t</m:t>
        </m:r>
        <m:r>
          <m:t>u</m:t>
        </m:r>
        <m:r>
          <m:t>n</m:t>
        </m:r>
        <m:r>
          <m:t>i</m:t>
        </m:r>
        <m:r>
          <m:t>t</m:t>
        </m:r>
        <m:r>
          <m:t>y</m:t>
        </m:r>
        <m:r>
          <m:t>a</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500 million of repeatable annual incremental free cash flow</w:t>
      </w:r>
      <w:r>
        <w:t xml:space="preserve">, with near-term opportunities from premium-market access and volatility monetization, and longer-dated gains from LNG, power, and industrial demand.</w:t>
      </w:r>
    </w:p>
    <w:p>
      <w:pPr>
        <w:pStyle w:val="BodyText"/>
      </w:pPr>
      <w:r>
        <w:t xml:space="preserve">The Twin Eagle acquisition dramatically raises the stakes. EXE now expects its combined marketing and commercial strategy to deliver</w:t>
      </w:r>
      <w:r>
        <w:t xml:space="preserve"> </w:t>
      </w:r>
      <w:r>
        <w:rPr>
          <w:b/>
          <w:bCs/>
        </w:rPr>
        <w:t xml:space="preserve">$750 million annually of incremental free cash flow</w:t>
      </w:r>
      <w:r>
        <w:t xml:space="preserve">, up 50% from the prior target.</w:t>
      </w:r>
    </w:p>
    <w:p>
      <w:pPr>
        <w:pStyle w:val="BodyText"/>
      </w:pPr>
      <w:r>
        <w:t xml:space="preserve">The critical question:</w:t>
      </w:r>
      <w:r>
        <w:t xml:space="preserve"> </w:t>
      </w:r>
      <w:r>
        <w:rPr>
          <w:b/>
          <w:bCs/>
        </w:rPr>
        <w:t xml:space="preserve">how much of the Q1 marketing contribution was repeatable optimization versus unusually favorable volatility?</w:t>
      </w:r>
      <w:r>
        <w:t xml:space="preserve"> </w:t>
      </w:r>
      <w:r>
        <w:t xml:space="preserve">A solid Q2 marketing result would support management’s assertion that the commercial strategy is becoming structural rather than episodic.</w:t>
      </w:r>
    </w:p>
    <w:bookmarkEnd w:id="12"/>
    <w:bookmarkStart w:id="13" w:name="X990415b6c89843b6b370c4b67a97bd3449aa2ea"/>
    <w:p>
      <w:pPr>
        <w:pStyle w:val="Heading3"/>
      </w:pPr>
      <w:r>
        <w:t xml:space="preserve">4. Twin Eagle: valuation, financing, integration, and earnings durability</w:t>
      </w:r>
    </w:p>
    <w:p>
      <w:pPr>
        <w:pStyle w:val="FirstParagraph"/>
      </w:pPr>
      <w:r>
        <w:t xml:space="preserve">Announced on</w:t>
      </w:r>
      <w:r>
        <w:t xml:space="preserve"> </w:t>
      </w:r>
      <w:r>
        <w:rPr>
          <w:b/>
          <w:bCs/>
        </w:rPr>
        <w:t xml:space="preserve">July 27</w:t>
      </w:r>
      <w:r>
        <w:t xml:space="preserve">, the acquisition is expected to close in Q3 and be funded with cash on hand and revolver borrowings. Twin Eagle markets more than</w:t>
      </w:r>
      <w:r>
        <w:t xml:space="preserve"> </w:t>
      </w:r>
      <w:r>
        <w:rPr>
          <w:b/>
          <w:bCs/>
        </w:rPr>
        <w:t xml:space="preserve">5 Bcf/d</w:t>
      </w:r>
      <w:r>
        <w:t xml:space="preserve">, manages roughly</w:t>
      </w:r>
      <w:r>
        <w:t xml:space="preserve"> </w:t>
      </w:r>
      <w:r>
        <w:rPr>
          <w:b/>
          <w:bCs/>
        </w:rPr>
        <w:t xml:space="preserve">44 Bcf of gas storage</w:t>
      </w:r>
      <w:r>
        <w:t xml:space="preserve"> </w:t>
      </w:r>
      <w:r>
        <w:t xml:space="preserve">and</w:t>
      </w:r>
      <w:r>
        <w:t xml:space="preserve"> </w:t>
      </w:r>
      <w:r>
        <w:rPr>
          <w:b/>
          <w:bCs/>
        </w:rPr>
        <w:t xml:space="preserve">~2 Bcf/d of firm transportation</w:t>
      </w:r>
      <w:r>
        <w:t xml:space="preserve">, and serves over 1,000 customers across the U.S. and Canada.</w:t>
      </w:r>
    </w:p>
    <w:p>
      <w:pPr>
        <w:pStyle w:val="BodyText"/>
      </w:pPr>
      <w:r>
        <w:t xml:space="preserve">EXE expects Twin Eagle to contribute more than</w:t>
      </w:r>
      <w:r>
        <w:t xml:space="preserve"> </w:t>
      </w:r>
      <m:oMath>
        <m:r>
          <m:t>200</m:t>
        </m:r>
        <m:r>
          <m:t>m</m:t>
        </m:r>
        <m:r>
          <m:t>i</m:t>
        </m:r>
        <m:r>
          <m:t>l</m:t>
        </m:r>
        <m:r>
          <m:t>l</m:t>
        </m:r>
        <m:r>
          <m:t>i</m:t>
        </m:r>
        <m:r>
          <m:t>o</m:t>
        </m:r>
        <m:r>
          <m:t>n</m:t>
        </m:r>
        <m:r>
          <m:t>o</m:t>
        </m:r>
        <m:r>
          <m:t>f</m:t>
        </m:r>
        <m:r>
          <m:t>a</m:t>
        </m:r>
        <m:r>
          <m:t>n</m:t>
        </m:r>
        <m:r>
          <m:t>n</m:t>
        </m:r>
        <m:r>
          <m:t>u</m:t>
        </m:r>
        <m:r>
          <m:t>a</m:t>
        </m:r>
        <m:r>
          <m:t>l</m:t>
        </m:r>
        <m:r>
          <m:t>E</m:t>
        </m:r>
        <m:r>
          <m:t>B</m:t>
        </m:r>
        <m:r>
          <m:t>I</m:t>
        </m:r>
        <m:r>
          <m:t>T</m:t>
        </m:r>
        <m:r>
          <m:t>D</m:t>
        </m:r>
        <m:r>
          <m:t>A</m:t>
        </m:r>
        <m:r>
          <m:t>i</m:t>
        </m:r>
        <m:r>
          <m:t>n</m:t>
        </m:r>
        <m:r>
          <m:t>i</m:t>
        </m:r>
        <m:r>
          <m:t>t</m:t>
        </m:r>
        <m:r>
          <m:t>i</m:t>
        </m:r>
        <m:r>
          <m:t>a</m:t>
        </m:r>
        <m:r>
          <m:t>l</m:t>
        </m:r>
        <m:r>
          <m:t>l</m:t>
        </m:r>
        <m:r>
          <m:t>y</m:t>
        </m:r>
        <m:r>
          <m:rPr>
            <m:sty m:val="p"/>
          </m:rPr>
          <m:t>*</m:t>
        </m:r>
        <m:r>
          <m:rPr>
            <m:sty m:val="p"/>
          </m:rPr>
          <m:t>*</m:t>
        </m:r>
        <m:r>
          <m:rPr>
            <m:sty m:val="p"/>
          </m:rPr>
          <m:t>,</m:t>
        </m:r>
        <m:r>
          <m:t>p</m:t>
        </m:r>
        <m:r>
          <m:t>l</m:t>
        </m:r>
        <m:r>
          <m:t>u</m:t>
        </m:r>
        <m:r>
          <m:t>s</m:t>
        </m:r>
        <m:r>
          <m:rPr>
            <m:sty m:val="p"/>
          </m:rPr>
          <m:t>*</m:t>
        </m:r>
        <m:r>
          <m:rPr>
            <m:sty m:val="p"/>
          </m:rPr>
          <m:t>*</m:t>
        </m:r>
      </m:oMath>
      <w:r>
        <w:rPr>
          <w:b/>
          <w:bCs/>
        </w:rPr>
        <w:t xml:space="preserve">150 million of annual synergies by year-end 2028</w:t>
      </w:r>
      <w:r>
        <w:t xml:space="preserve">. On the disclosed initial EBITDA contribution, the purchase price implies a multiple of</w:t>
      </w:r>
      <w:r>
        <w:t xml:space="preserve"> </w:t>
      </w:r>
      <w:r>
        <w:rPr>
          <w:b/>
          <w:bCs/>
        </w:rPr>
        <w:t xml:space="preserve">no more than ~6.25x EBITDA before synergies</w:t>
      </w:r>
      <w:r>
        <w:t xml:space="preserve">; the value case therefore depends on the repeatability of the base earnings and execution against synergies.</w:t>
      </w:r>
    </w:p>
    <w:p>
      <w:pPr>
        <w:pStyle w:val="BodyText"/>
      </w:pPr>
      <w:r>
        <w:rPr>
          <w:b/>
          <w:bCs/>
        </w:rPr>
        <w:t xml:space="preserve">Questions that matter on the call:</w:t>
      </w:r>
    </w:p>
    <w:p>
      <w:pPr>
        <w:pStyle w:val="Compact"/>
        <w:numPr>
          <w:ilvl w:val="0"/>
          <w:numId w:val="1003"/>
        </w:numPr>
      </w:pPr>
      <w:r>
        <w:t xml:space="preserve">How much of Twin Eagle’s earnings are recurring contracted/asset-backed margins versus discretionary optimization income?</w:t>
      </w:r>
    </w:p>
    <w:p>
      <w:pPr>
        <w:pStyle w:val="Compact"/>
        <w:numPr>
          <w:ilvl w:val="0"/>
          <w:numId w:val="1003"/>
        </w:numPr>
      </w:pPr>
      <w:r>
        <w:t xml:space="preserve">What are normalized working-capital needs and seasonal cash demands?</w:t>
      </w:r>
    </w:p>
    <w:p>
      <w:pPr>
        <w:pStyle w:val="Compact"/>
        <w:numPr>
          <w:ilvl w:val="0"/>
          <w:numId w:val="1003"/>
        </w:numPr>
      </w:pPr>
      <w:r>
        <w:t xml:space="preserve">Does EXE expect to draw the revolver immediately, and what pro forma leverage level is acceptable?</w:t>
      </w:r>
    </w:p>
    <w:p>
      <w:pPr>
        <w:pStyle w:val="Compact"/>
        <w:numPr>
          <w:ilvl w:val="0"/>
          <w:numId w:val="1003"/>
        </w:numPr>
      </w:pPr>
      <w:r>
        <w:t xml:space="preserve">What specific commercial or logistics synergies make up the $150 million target?</w:t>
      </w:r>
    </w:p>
    <w:p>
      <w:pPr>
        <w:pStyle w:val="Compact"/>
        <w:numPr>
          <w:ilvl w:val="0"/>
          <w:numId w:val="1003"/>
        </w:numPr>
      </w:pPr>
      <w:r>
        <w:t xml:space="preserve">How will EXE retain Twin Eagle’s key traders, operators, and commercial staff?</w:t>
      </w:r>
    </w:p>
    <w:p>
      <w:pPr>
        <w:pStyle w:val="Compact"/>
        <w:numPr>
          <w:ilvl w:val="0"/>
          <w:numId w:val="1003"/>
        </w:numPr>
      </w:pPr>
      <w:r>
        <w:t xml:space="preserve">What risk limits, collateral requirements, and hedging policies will govern the expanded marketing platform?</w:t>
      </w:r>
    </w:p>
    <w:p>
      <w:pPr>
        <w:pStyle w:val="FirstParagraph"/>
      </w:pPr>
      <w:r>
        <w:t xml:space="preserve">This is strategically logical: EXE brings large, low-cost supply, transportation capacity, liquidity, and investment-grade credit; Twin Eagle brings customer relationships, logistics, storage, and commercial execution. Still, the deal introduces more exposure to execution, counterparty, liquidity, and risk-management discipline than a pure upstream model.</w:t>
      </w:r>
    </w:p>
    <w:bookmarkEnd w:id="13"/>
    <w:bookmarkStart w:id="14" w:name="Xbacb13c76ec7e69882ad4f51b0e39a596786f02"/>
    <w:p>
      <w:pPr>
        <w:pStyle w:val="Heading3"/>
      </w:pPr>
      <w:r>
        <w:t xml:space="preserve">5. Capital allocation has become more complicated</w:t>
      </w:r>
    </w:p>
    <w:p>
      <w:pPr>
        <w:pStyle w:val="FirstParagraph"/>
      </w:pPr>
      <w:r>
        <w:t xml:space="preserve">EXE entered the year with an unusually strong balance-sheet position. In April it redeemed approximately</w:t>
      </w:r>
      <w:r>
        <w:t xml:space="preserve"> </w:t>
      </w:r>
      <m:oMath>
        <m:r>
          <m:t>1.3</m:t>
        </m:r>
        <m:r>
          <m:t>b</m:t>
        </m:r>
        <m:r>
          <m:t>i</m:t>
        </m:r>
        <m:r>
          <m:t>l</m:t>
        </m:r>
        <m:r>
          <m:t>l</m:t>
        </m:r>
        <m:r>
          <m:t>i</m:t>
        </m:r>
        <m:r>
          <m:t>o</m:t>
        </m:r>
        <m:r>
          <m:t>n</m:t>
        </m:r>
        <m:r>
          <m:rPr>
            <m:sty m:val="p"/>
          </m:rPr>
          <m:t>*</m:t>
        </m:r>
        <m:r>
          <m:rPr>
            <m:sty m:val="p"/>
          </m:rPr>
          <m:t>*</m:t>
        </m:r>
        <m:r>
          <m:t>o</m:t>
        </m:r>
        <m:r>
          <m:t>f</m:t>
        </m:r>
        <m:r>
          <m:t>d</m:t>
        </m:r>
        <m:r>
          <m:t>e</m:t>
        </m:r>
        <m:r>
          <m:t>b</m:t>
        </m:r>
        <m:r>
          <m:t>t</m:t>
        </m:r>
        <m:r>
          <m:rPr>
            <m:sty m:val="p"/>
          </m:rPr>
          <m:t>,</m:t>
        </m:r>
        <m:r>
          <m:t>a</m:t>
        </m:r>
        <m:r>
          <m:t>n</m:t>
        </m:r>
        <m:r>
          <m:t>d</m:t>
        </m:r>
        <m:r>
          <m:t>a</m:t>
        </m:r>
        <m:r>
          <m:t>t</m:t>
        </m:r>
        <m:r>
          <m:t>M</m:t>
        </m:r>
        <m:r>
          <m:t>a</m:t>
        </m:r>
        <m:r>
          <m:t>r</m:t>
        </m:r>
        <m:r>
          <m:t>c</m:t>
        </m:r>
        <m:r>
          <m:t>h</m:t>
        </m:r>
        <m:r>
          <m:t>31</m:t>
        </m:r>
        <m:r>
          <m:t>i</m:t>
        </m:r>
        <m:r>
          <m:t>t</m:t>
        </m:r>
        <m:r>
          <m:t>h</m:t>
        </m:r>
        <m:r>
          <m:t>a</m:t>
        </m:r>
        <m:r>
          <m:t>d</m:t>
        </m:r>
        <m:r>
          <m:rPr>
            <m:sty m:val="p"/>
          </m:rPr>
          <m:t>*</m:t>
        </m:r>
        <m:r>
          <m:rPr>
            <m:sty m:val="p"/>
          </m:rPr>
          <m:t>*</m:t>
        </m:r>
      </m:oMath>
      <w:r>
        <w:rPr>
          <w:b/>
          <w:bCs/>
        </w:rPr>
        <w:t xml:space="preserve">2.2 billion of cash</w:t>
      </w:r>
      <w:r>
        <w:t xml:space="preserve">, no revolver borrowings, and</w:t>
      </w:r>
      <w:r>
        <w:t xml:space="preserve"> </w:t>
      </w:r>
      <w:r>
        <w:rPr>
          <w:b/>
          <w:bCs/>
        </w:rPr>
        <w:t xml:space="preserve">$5.7 billion of total liquidity</w:t>
      </w:r>
      <w:r>
        <w:t xml:space="preserve">. Management had already suggested it could shift more incremental cash flow toward buybacks after reaching its debt-reduction objective.</w:t>
      </w:r>
    </w:p>
    <w:p>
      <w:pPr>
        <w:pStyle w:val="BodyText"/>
      </w:pPr>
      <w:r>
        <w:t xml:space="preserve">Twin Eagle changes that calculus. The transaction uses cash and/or revolver capacity, meaning investors should expect a more nuanced discussion of the trade-off among:</w:t>
      </w:r>
    </w:p>
    <w:p>
      <w:pPr>
        <w:pStyle w:val="Compact"/>
        <w:numPr>
          <w:ilvl w:val="0"/>
          <w:numId w:val="1004"/>
        </w:numPr>
      </w:pPr>
      <w:r>
        <w:t xml:space="preserve">Maintaining investment-grade leverage,</w:t>
      </w:r>
    </w:p>
    <w:p>
      <w:pPr>
        <w:pStyle w:val="Compact"/>
        <w:numPr>
          <w:ilvl w:val="0"/>
          <w:numId w:val="1004"/>
        </w:numPr>
      </w:pPr>
      <w:r>
        <w:t xml:space="preserve">Funding the acquisition and associated working capital,</w:t>
      </w:r>
    </w:p>
    <w:p>
      <w:pPr>
        <w:pStyle w:val="Compact"/>
        <w:numPr>
          <w:ilvl w:val="0"/>
          <w:numId w:val="1004"/>
        </w:numPr>
      </w:pPr>
      <w:r>
        <w:t xml:space="preserve">Continuing the</w:t>
      </w:r>
      <w:r>
        <w:t xml:space="preserve"> </w:t>
      </w:r>
      <w:r>
        <w:rPr>
          <w:b/>
          <w:bCs/>
        </w:rPr>
        <w:t xml:space="preserve">$0.575 per-share quarterly base dividend</w:t>
      </w:r>
      <w:r>
        <w:t xml:space="preserve">,</w:t>
      </w:r>
    </w:p>
    <w:p>
      <w:pPr>
        <w:pStyle w:val="Compact"/>
        <w:numPr>
          <w:ilvl w:val="0"/>
          <w:numId w:val="1004"/>
        </w:numPr>
      </w:pPr>
      <w:r>
        <w:t xml:space="preserve">Repurchasing shares, and</w:t>
      </w:r>
    </w:p>
    <w:p>
      <w:pPr>
        <w:pStyle w:val="Compact"/>
        <w:numPr>
          <w:ilvl w:val="0"/>
          <w:numId w:val="1004"/>
        </w:numPr>
      </w:pPr>
      <w:r>
        <w:t xml:space="preserve">Funding commercial/LNG/power-market opportunities.</w:t>
      </w:r>
    </w:p>
    <w:p>
      <w:pPr>
        <w:pStyle w:val="FirstParagraph"/>
      </w:pPr>
      <w:r>
        <w:t xml:space="preserve">A clear, conservative financing and buyback framework would be constructive. A vague answer on pro forma leverage or acquisition-related cash needs would likely weigh on sentiment.</w:t>
      </w:r>
    </w:p>
    <w:bookmarkEnd w:id="14"/>
    <w:bookmarkEnd w:id="15"/>
    <w:bookmarkStart w:id="16" w:name="q1-baseline"/>
    <w:p>
      <w:pPr>
        <w:pStyle w:val="Heading2"/>
      </w:pPr>
      <w:r>
        <w:t xml:space="preserve">Q1 baseline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1Q26 result</w:t>
            </w:r>
          </w:p>
        </w:tc>
      </w:tr>
      <w:tr>
        <w:tc>
          <w:tcPr/>
          <w:p>
            <w:pPr>
              <w:pStyle w:val="Compact"/>
            </w:pPr>
            <w:r>
              <w:t xml:space="preserve">Net production</w:t>
            </w:r>
          </w:p>
        </w:tc>
        <w:tc>
          <w:tcPr/>
          <w:p>
            <w:pPr>
              <w:pStyle w:val="Compact"/>
              <w:jc w:val="right"/>
            </w:pPr>
            <w:r>
              <w:rPr>
                <w:b/>
                <w:bCs/>
              </w:rPr>
              <w:t xml:space="preserve">7.44 Bcfe/d</w:t>
            </w:r>
          </w:p>
        </w:tc>
      </w:tr>
      <w:tr>
        <w:tc>
          <w:tcPr/>
          <w:p>
            <w:pPr>
              <w:pStyle w:val="Compact"/>
            </w:pPr>
            <w:r>
              <w:t xml:space="preserve">Adjusted EBITDAX</w:t>
            </w:r>
          </w:p>
        </w:tc>
        <w:tc>
          <w:tcPr/>
          <w:p>
            <w:pPr>
              <w:pStyle w:val="Compact"/>
              <w:jc w:val="right"/>
            </w:pPr>
            <w:r>
              <w:rPr>
                <w:b/>
                <w:bCs/>
              </w:rPr>
              <w:t xml:space="preserve">$1.97B</w:t>
            </w:r>
          </w:p>
        </w:tc>
      </w:tr>
      <w:tr>
        <w:tc>
          <w:tcPr/>
          <w:p>
            <w:pPr>
              <w:pStyle w:val="Compact"/>
            </w:pPr>
            <w:r>
              <w:t xml:space="preserve">Adjusted free cash flow</w:t>
            </w:r>
          </w:p>
        </w:tc>
        <w:tc>
          <w:tcPr/>
          <w:p>
            <w:pPr>
              <w:pStyle w:val="Compact"/>
              <w:jc w:val="right"/>
            </w:pPr>
            <w:r>
              <w:rPr>
                <w:b/>
                <w:bCs/>
              </w:rPr>
              <w:t xml:space="preserve">$1.70B</w:t>
            </w:r>
          </w:p>
        </w:tc>
      </w:tr>
      <w:tr>
        <w:tc>
          <w:tcPr/>
          <w:p>
            <w:pPr>
              <w:pStyle w:val="Compact"/>
            </w:pPr>
            <w:r>
              <w:t xml:space="preserve">Adjusted diluted EPS</w:t>
            </w:r>
          </w:p>
        </w:tc>
        <w:tc>
          <w:tcPr/>
          <w:p>
            <w:pPr>
              <w:pStyle w:val="Compact"/>
              <w:jc w:val="right"/>
            </w:pPr>
            <w:r>
              <w:rPr>
                <w:b/>
                <w:bCs/>
              </w:rPr>
              <w:t xml:space="preserve">$3.83</w:t>
            </w:r>
          </w:p>
        </w:tc>
      </w:tr>
      <w:tr>
        <w:tc>
          <w:tcPr/>
          <w:p>
            <w:pPr>
              <w:pStyle w:val="Compact"/>
            </w:pPr>
            <w:r>
              <w:t xml:space="preserve">Natural gas realized price, pre-hedge</w:t>
            </w:r>
          </w:p>
        </w:tc>
        <w:tc>
          <w:tcPr/>
          <w:p>
            <w:pPr>
              <w:pStyle w:val="Compact"/>
              <w:jc w:val="right"/>
            </w:pPr>
            <w:r>
              <w:rPr>
                <w:b/>
                <w:bCs/>
              </w:rPr>
              <w:t xml:space="preserve">$4.92/Mcf</w:t>
            </w:r>
          </w:p>
        </w:tc>
      </w:tr>
      <w:tr>
        <w:tc>
          <w:tcPr/>
          <w:p>
            <w:pPr>
              <w:pStyle w:val="Compact"/>
            </w:pPr>
            <w:r>
              <w:t xml:space="preserve">Natural gas realized price, including realized derivatives</w:t>
            </w:r>
          </w:p>
        </w:tc>
        <w:tc>
          <w:tcPr/>
          <w:p>
            <w:pPr>
              <w:pStyle w:val="Compact"/>
              <w:jc w:val="right"/>
            </w:pPr>
            <w:r>
              <w:rPr>
                <w:b/>
                <w:bCs/>
              </w:rPr>
              <w:t xml:space="preserve">$4.28/Mcf</w:t>
            </w:r>
          </w:p>
        </w:tc>
      </w:tr>
      <w:tr>
        <w:tc>
          <w:tcPr/>
          <w:p>
            <w:pPr>
              <w:pStyle w:val="Compact"/>
            </w:pPr>
            <w:r>
              <w:t xml:space="preserve">Quarter-end net debt</w:t>
            </w:r>
          </w:p>
        </w:tc>
        <w:tc>
          <w:tcPr/>
          <w:p>
            <w:pPr>
              <w:pStyle w:val="Compact"/>
              <w:jc w:val="right"/>
            </w:pPr>
            <w:r>
              <w:rPr>
                <w:b/>
                <w:bCs/>
              </w:rPr>
              <w:t xml:space="preserve">$2.8B</w:t>
            </w:r>
          </w:p>
        </w:tc>
      </w:tr>
      <w:tr>
        <w:tc>
          <w:tcPr/>
          <w:p>
            <w:pPr>
              <w:pStyle w:val="Compact"/>
            </w:pPr>
            <w:r>
              <w:t xml:space="preserve">2026 production guidance</w:t>
            </w:r>
          </w:p>
        </w:tc>
        <w:tc>
          <w:tcPr/>
          <w:p>
            <w:pPr>
              <w:pStyle w:val="Compact"/>
              <w:jc w:val="right"/>
            </w:pPr>
            <w:r>
              <w:rPr>
                <w:b/>
                <w:bCs/>
              </w:rPr>
              <w:t xml:space="preserve">~7.5 Bcfe/d</w:t>
            </w:r>
          </w:p>
        </w:tc>
      </w:tr>
      <w:tr>
        <w:tc>
          <w:tcPr/>
          <w:p>
            <w:pPr>
              <w:pStyle w:val="Compact"/>
            </w:pPr>
            <w:r>
              <w:t xml:space="preserve">2026 capex guidance</w:t>
            </w:r>
          </w:p>
        </w:tc>
        <w:tc>
          <w:tcPr/>
          <w:p>
            <w:pPr>
              <w:pStyle w:val="Compact"/>
              <w:jc w:val="right"/>
            </w:pPr>
            <m:oMath>
              <m:r>
                <m:t>2.75</m:t>
              </m:r>
              <m:r>
                <m:t>B</m:t>
              </m:r>
              <m:r>
                <m:rPr>
                  <m:sty m:val="p"/>
                </m:rPr>
                <m:t>–</m:t>
              </m:r>
            </m:oMath>
            <w:r>
              <w:rPr>
                <w:b/>
                <w:bCs/>
              </w:rPr>
              <w:t xml:space="preserve">2.95B</w:t>
            </w:r>
          </w:p>
        </w:tc>
      </w:tr>
    </w:tbl>
    <w:bookmarkEnd w:id="16"/>
    <w:bookmarkStart w:id="17" w:name="bull-case-into-results"/>
    <w:p>
      <w:pPr>
        <w:pStyle w:val="Heading2"/>
      </w:pPr>
      <w:r>
        <w:t xml:space="preserve">Bull case into results</w:t>
      </w:r>
    </w:p>
    <w:p>
      <w:pPr>
        <w:pStyle w:val="Compact"/>
        <w:numPr>
          <w:ilvl w:val="0"/>
          <w:numId w:val="1005"/>
        </w:numPr>
      </w:pPr>
      <w:r>
        <w:t xml:space="preserve">Production and capex guidance are reaffirmed, validating operational flexibility.</w:t>
      </w:r>
    </w:p>
    <w:p>
      <w:pPr>
        <w:pStyle w:val="Compact"/>
        <w:numPr>
          <w:ilvl w:val="0"/>
          <w:numId w:val="1005"/>
        </w:numPr>
      </w:pPr>
      <w:r>
        <w:t xml:space="preserve">Q2 marketing margin remains strong enough to demonstrate repeatability beyond Q1’s volatility-driven gains.</w:t>
      </w:r>
    </w:p>
    <w:p>
      <w:pPr>
        <w:pStyle w:val="Compact"/>
        <w:numPr>
          <w:ilvl w:val="0"/>
          <w:numId w:val="1005"/>
        </w:numPr>
      </w:pPr>
      <w:r>
        <w:t xml:space="preserve">Management quantifies the Twin Eagle EBITDA mix, working-capital requirements, risk controls, and synergy milestones.</w:t>
      </w:r>
    </w:p>
    <w:p>
      <w:pPr>
        <w:pStyle w:val="Compact"/>
        <w:numPr>
          <w:ilvl w:val="0"/>
          <w:numId w:val="1005"/>
        </w:numPr>
      </w:pPr>
      <w:r>
        <w:t xml:space="preserve">The company provides confidence that buybacks can coexist with maintaining investment-grade credit quality and funding the acquisition.</w:t>
      </w:r>
    </w:p>
    <w:p>
      <w:pPr>
        <w:pStyle w:val="Compact"/>
        <w:numPr>
          <w:ilvl w:val="0"/>
          <w:numId w:val="1005"/>
        </w:numPr>
      </w:pPr>
      <w:r>
        <w:t xml:space="preserve">Western Haynesville results confirm the potential for another cost-advantaged growth inventory source.</w:t>
      </w:r>
    </w:p>
    <w:p>
      <w:pPr>
        <w:pStyle w:val="Compact"/>
        <w:numPr>
          <w:ilvl w:val="0"/>
          <w:numId w:val="1005"/>
        </w:numPr>
      </w:pPr>
      <w:r>
        <w:t xml:space="preserve">LNG and Gulf Coast demand discussions reinforce EXE’s ability to capture premium-market pricing rather than simply grow volumes.</w:t>
      </w:r>
    </w:p>
    <w:bookmarkEnd w:id="17"/>
    <w:bookmarkStart w:id="18" w:name="bear-case-into-results"/>
    <w:p>
      <w:pPr>
        <w:pStyle w:val="Heading2"/>
      </w:pPr>
      <w:r>
        <w:t xml:space="preserve">Bear case into results</w:t>
      </w:r>
    </w:p>
    <w:p>
      <w:pPr>
        <w:pStyle w:val="Compact"/>
        <w:numPr>
          <w:ilvl w:val="0"/>
          <w:numId w:val="1006"/>
        </w:numPr>
      </w:pPr>
      <w:r>
        <w:t xml:space="preserve">Q2 capital spending is elevated without a commensurate production or cost benefit, prompting concern about the full-year budget.</w:t>
      </w:r>
    </w:p>
    <w:p>
      <w:pPr>
        <w:pStyle w:val="Compact"/>
        <w:numPr>
          <w:ilvl w:val="0"/>
          <w:numId w:val="1006"/>
        </w:numPr>
      </w:pPr>
      <w:r>
        <w:t xml:space="preserve">Cash flow weakens materially from lower gas realizations, hedge settlements, or unfavorable working capital.</w:t>
      </w:r>
    </w:p>
    <w:p>
      <w:pPr>
        <w:pStyle w:val="Compact"/>
        <w:numPr>
          <w:ilvl w:val="0"/>
          <w:numId w:val="1006"/>
        </w:numPr>
      </w:pPr>
      <w:r>
        <w:t xml:space="preserve">Marketing results fall sharply, exposing the volatility-sensitive nature of the business just as EXE commits capital to a larger marketing platform.</w:t>
      </w:r>
    </w:p>
    <w:p>
      <w:pPr>
        <w:pStyle w:val="Compact"/>
        <w:numPr>
          <w:ilvl w:val="0"/>
          <w:numId w:val="1006"/>
        </w:numPr>
      </w:pPr>
      <w:r>
        <w:t xml:space="preserve">Twin Eagle financing or recurring earnings are less attractive than the headline figures suggest.</w:t>
      </w:r>
    </w:p>
    <w:p>
      <w:pPr>
        <w:pStyle w:val="Compact"/>
        <w:numPr>
          <w:ilvl w:val="0"/>
          <w:numId w:val="1006"/>
        </w:numPr>
      </w:pPr>
      <w:r>
        <w:t xml:space="preserve">Management provides limited detail on pro forma leverage, collateral/working-capital needs, or the path to $150 million of synergies.</w:t>
      </w:r>
    </w:p>
    <w:p>
      <w:pPr>
        <w:pStyle w:val="Compact"/>
        <w:numPr>
          <w:ilvl w:val="0"/>
          <w:numId w:val="1006"/>
        </w:numPr>
      </w:pPr>
      <w:r>
        <w:t xml:space="preserve">Higher service costs, weak gas pricing, or a slower LNG/power-demand ramp pressure the expected commercial uplift.</w:t>
      </w:r>
    </w:p>
    <w:bookmarkEnd w:id="18"/>
    <w:bookmarkStart w:id="19" w:name="stock-setup"/>
    <w:p>
      <w:pPr>
        <w:pStyle w:val="Heading2"/>
      </w:pPr>
      <w:r>
        <w:t xml:space="preserve">Stock setup</w:t>
      </w:r>
    </w:p>
    <w:p>
      <w:pPr>
        <w:pStyle w:val="FirstParagraph"/>
      </w:pPr>
      <w:r>
        <w:t xml:space="preserve">EXE closed at</w:t>
      </w:r>
      <w:r>
        <w:t xml:space="preserve"> </w:t>
      </w:r>
      <w:r>
        <w:rPr>
          <w:b/>
          <w:bCs/>
        </w:rPr>
        <w:t xml:space="preserve">$90.53 on July 27</w:t>
      </w:r>
      <w:r>
        <w:t xml:space="preserve">, down about</w:t>
      </w:r>
      <w:r>
        <w:t xml:space="preserve"> </w:t>
      </w:r>
      <w:r>
        <w:rPr>
          <w:b/>
          <w:bCs/>
        </w:rPr>
        <w:t xml:space="preserve">6.6% since its April 28 Q1-results close of $96.96</w:t>
      </w:r>
      <w:r>
        <w:t xml:space="preserve">, while up roughly</w:t>
      </w:r>
      <w:r>
        <w:t xml:space="preserve"> </w:t>
      </w:r>
      <w:r>
        <w:rPr>
          <w:b/>
          <w:bCs/>
        </w:rPr>
        <w:t xml:space="preserve">1.1% from July 1</w:t>
      </w:r>
      <w:r>
        <w:t xml:space="preserve">. That performance suggests investors have not fully rewarded the company for its strategic repositioning and may need tangible Q2 commercial execution plus a credible Twin Eagle integration plan before underwriting the higher-margin narrative.</w:t>
      </w:r>
    </w:p>
    <w:bookmarkEnd w:id="19"/>
    <w:bookmarkStart w:id="20" w:name="bottom-line"/>
    <w:p>
      <w:pPr>
        <w:pStyle w:val="Heading2"/>
      </w:pPr>
      <w:r>
        <w:t xml:space="preserve">Bottom line</w:t>
      </w:r>
    </w:p>
    <w:p>
      <w:pPr>
        <w:pStyle w:val="FirstParagraph"/>
      </w:pPr>
      <w:r>
        <w:t xml:space="preserve">This is no longer simply a natural-gas-price earnings event. The near-term financial print should show whether EXE is still executing its disciplined</w:t>
      </w:r>
      <w:r>
        <w:t xml:space="preserve"> </w:t>
      </w:r>
      <w:r>
        <w:rPr>
          <w:b/>
          <w:bCs/>
        </w:rPr>
        <w:t xml:space="preserve">7.5 Bcfe/d / ~$2.85 billion capex</w:t>
      </w:r>
      <w:r>
        <w:t xml:space="preserve"> </w:t>
      </w:r>
      <w:r>
        <w:t xml:space="preserve">plan, but the stock’s more important debate is whether Twin Eagle can turn management’s commercial ambitions into durable, higher-quality free cash flow.</w:t>
      </w:r>
    </w:p>
    <w:p>
      <w:pPr>
        <w:pStyle w:val="BodyText"/>
      </w:pPr>
      <w:r>
        <w:rPr>
          <w:b/>
          <w:bCs/>
        </w:rPr>
        <w:t xml:space="preserve">Most important call takeaway:</w:t>
      </w:r>
      <w:r>
        <w:t xml:space="preserve"> </w:t>
      </w:r>
      <w:r>
        <w:t xml:space="preserve">investors should demand specificity on the Twin Eagle earnings base, funding, leverage, risk governance, and synergy timing. If management provides that clarity while maintaining operating guidance, the report could strengthen the case that EXE is evolving from a scale gas producer into a differentiated integrated natural-gas platform.</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2026-07-28T01:32:24Z</dcterms:created>
  <dcterms:modified xsi:type="dcterms:W3CDTF">2026-07-28T01:32:24Z</dcterms:modified>
</cp:coreProperties>
</file>

<file path=docProps/custom.xml><?xml version="1.0" encoding="utf-8"?>
<Properties xmlns="http://schemas.openxmlformats.org/officeDocument/2006/custom-properties" xmlns:vt="http://schemas.openxmlformats.org/officeDocument/2006/docPropsVTypes"/>
</file>