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Expand Energy Corporation (EXE) — Q2 2026 Earnings Preview</w:t>
      </w:r>
    </w:p>
    <w:p>
      <w:r>
        <w:rPr>
          <w:rFonts w:ascii="Calibri" w:hAnsi="Calibri"/>
          <w:b/>
          <w:color w:val="525866"/>
          <w:sz w:val="22"/>
        </w:rPr>
        <w:t xml:space="preserve">Company: </w:t>
      </w:r>
      <w:r>
        <w:rPr>
          <w:rFonts w:ascii="Calibri" w:hAnsi="Calibri"/>
          <w:color w:val="525866"/>
          <w:sz w:val="22"/>
        </w:rPr>
        <w:t xml:space="preserve">Expand Energy Corporation  </w:t>
      </w:r>
      <w:r>
        <w:rPr>
          <w:rFonts w:ascii="Calibri" w:hAnsi="Calibri"/>
          <w:b/>
          <w:color w:val="525866"/>
          <w:sz w:val="22"/>
        </w:rPr>
        <w:t xml:space="preserve">  |  Ticker: </w:t>
      </w:r>
      <w:r>
        <w:rPr>
          <w:rFonts w:ascii="Calibri" w:hAnsi="Calibri"/>
          <w:color w:val="525866"/>
          <w:sz w:val="22"/>
        </w:rPr>
        <w:t xml:space="preserve">EXE  </w:t>
      </w:r>
      <w:r>
        <w:rPr>
          <w:rFonts w:ascii="Calibri" w:hAnsi="Calibri"/>
          <w:b/>
          <w:color w:val="525866"/>
          <w:sz w:val="22"/>
        </w:rPr>
        <w:t xml:space="preserve">  |  Upcoming Earnings: </w:t>
      </w:r>
      <w:r>
        <w:rPr>
          <w:rFonts w:ascii="Calibri" w:hAnsi="Calibri"/>
          <w:color w:val="525866"/>
          <w:sz w:val="22"/>
        </w:rPr>
        <w:t xml:space="preserve">Q2 2026 (expected late July / early August 2026)  </w:t>
      </w:r>
      <w:r>
        <w:rPr>
          <w:rFonts w:ascii="Calibri" w:hAnsi="Calibri"/>
          <w:b/>
          <w:color w:val="525866"/>
          <w:sz w:val="22"/>
        </w:rPr>
        <w:t xml:space="preserve">  |  Prepared: </w:t>
      </w:r>
      <w:r>
        <w:rPr>
          <w:rFonts w:ascii="Calibri" w:hAnsi="Calibri"/>
          <w:color w:val="525866"/>
          <w:sz w:val="22"/>
        </w:rPr>
        <w:t>July 28,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Q2 2026 is constructive but not a layup — consensus is a manageable bar on production and EPS, but the real swing factor is </w:t>
      </w:r>
      <w:r>
        <w:rPr>
          <w:rFonts w:ascii="Calibri" w:hAnsi="Calibri"/>
          <w:b/>
          <w:color w:val="002FA7"/>
          <w:sz w:val="22"/>
        </w:rPr>
        <w:t>marketing margin and realized pricing</w:t>
      </w:r>
      <w:r>
        <w:rPr>
          <w:rFonts w:ascii="Calibri" w:hAnsi="Calibri"/>
          <w:color w:val="525866"/>
          <w:sz w:val="22"/>
        </w:rPr>
        <w:t>, where EXE dramatically beat in Q1 and the street has only modestly revised expectations higher.</w:t>
      </w:r>
    </w:p>
    <w:p>
      <w:r>
        <w:rPr>
          <w:rFonts w:ascii="Calibri" w:hAnsi="Calibri"/>
          <w:color w:val="525866"/>
          <w:sz w:val="22"/>
        </w:rPr>
        <w:t xml:space="preserve">Heading into Q2 2026, EXE carries significant momentum from a record Q1 — $1.7B of free cash flow, $1.3B of debt reduction, and ~$90M of incremental marketing value captured in a single quarter — but the bar has risen modestly as a result. </w:t>
      </w:r>
      <w:r>
        <w:rPr>
          <w:rFonts w:ascii="Calibri" w:hAnsi="Calibri"/>
          <w:b/>
          <w:color w:val="525866"/>
          <w:sz w:val="22"/>
        </w:rPr>
        <w:t>Consensus sits at ~$1.14 of operating EPS and ~$2.11B of revenue for Q2</w:t>
      </w:r>
      <w:r>
        <w:rPr>
          <w:rFonts w:ascii="Calibri" w:hAnsi="Calibri"/>
          <w:color w:val="525866"/>
          <w:sz w:val="22"/>
        </w:rPr>
        <w:t xml:space="preserve">, both of which represent a meaningful step-down from Q1's elevated levels driven by seasonally lower gas prices and Q2 being the peak CapEx quarter of the year. Management's tone on the Q1 call was notably confident: full-year production and CapEx guidance were reaffirmed at 7.5 Bcf/d and $2.85B respectively, and the capital allocation pivot toward buybacks signals management sees the stock as undervalued. </w:t>
      </w:r>
      <w:r>
        <w:rPr>
          <w:rFonts w:ascii="Calibri" w:hAnsi="Calibri"/>
          <w:b/>
          <w:color w:val="525866"/>
          <w:sz w:val="22"/>
        </w:rPr>
        <w:t>Estimate revisions have been essentially flat since the Q1 print</w:t>
      </w:r>
      <w:r>
        <w:rPr>
          <w:rFonts w:ascii="Calibri" w:hAnsi="Calibri"/>
          <w:color w:val="525866"/>
          <w:sz w:val="22"/>
        </w:rPr>
        <w:t xml:space="preserve"> — the street has not materially raised the bar, which is a mild positive. The stock has underperformed XOP by roughly 5 points since Q1 earnings (EXE ~−7% vs. XOP ~−1.5% indexed), suggesting the market has not priced in a beat and the valuation setup is not stretched. The single biggest wildcard is the </w:t>
      </w:r>
      <w:r>
        <w:rPr>
          <w:rFonts w:ascii="Calibri" w:hAnsi="Calibri"/>
          <w:b/>
          <w:color w:val="002FA7"/>
          <w:sz w:val="22"/>
        </w:rPr>
        <w:t>July 27 announcement of the $1.25B Twin Eagle acquisition</w:t>
      </w:r>
      <w:r>
        <w:rPr>
          <w:rFonts w:ascii="Calibri" w:hAnsi="Calibri"/>
          <w:color w:val="525866"/>
          <w:sz w:val="22"/>
        </w:rPr>
        <w:t xml:space="preserve"> — a transformational deal that closes in Q3 and will dominate the earnings call narrative, potentially overshadowing the underlying Q2 operational print entirely.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moderate bar on production (7.46 Bcf/d) and EPS ($1.14), but the bigger swing factor is </w:t>
      </w:r>
      <w:r>
        <w:rPr>
          <w:rFonts w:ascii="Calibri" w:hAnsi="Calibri"/>
          <w:b/>
          <w:color w:val="002FA7"/>
          <w:sz w:val="22"/>
        </w:rPr>
        <w:t>marketing margin</w:t>
      </w:r>
      <w:r>
        <w:rPr>
          <w:rFonts w:ascii="Calibri" w:hAnsi="Calibri"/>
          <w:color w:val="525866"/>
          <w:sz w:val="22"/>
        </w:rPr>
        <w:t xml:space="preserve"> — where EXE generated $91M in Q1 vs. a consensus expectation of just ~$4M, and the street has only partially revised Q2 higher to ~$17M.</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$2.90B</w:t>
            </w:r>
          </w:p>
        </w:tc>
        <w:tc>
          <w:tcPr>
            <w:tcW w:type="dxa" w:w="1234"/>
          </w:tcPr>
          <w:p>
            <w:r>
              <w:rPr>
                <w:rFonts w:ascii="Calibri" w:hAnsi="Calibri"/>
                <w:sz w:val="22"/>
              </w:rPr>
              <w:t>$3.28B</w:t>
            </w:r>
          </w:p>
        </w:tc>
        <w:tc>
          <w:tcPr>
            <w:tcW w:type="dxa" w:w="1234"/>
          </w:tcPr>
          <w:p>
            <w:r>
              <w:rPr>
                <w:rFonts w:ascii="Calibri" w:hAnsi="Calibri"/>
                <w:sz w:val="22"/>
              </w:rPr>
              <w:t>$2.11B</w:t>
            </w:r>
          </w:p>
        </w:tc>
        <w:tc>
          <w:tcPr>
            <w:tcW w:type="dxa" w:w="1234"/>
          </w:tcPr>
          <w:p>
            <w:r>
              <w:rPr>
                <w:rFonts w:ascii="Calibri" w:hAnsi="Calibri"/>
                <w:sz w:val="22"/>
              </w:rPr>
              <w:t>−27.2%</w:t>
            </w:r>
          </w:p>
        </w:tc>
        <w:tc>
          <w:tcPr>
            <w:tcW w:type="dxa" w:w="1234"/>
          </w:tcPr>
          <w:p>
            <w:r>
              <w:rPr>
                <w:rFonts w:ascii="Calibri" w:hAnsi="Calibri"/>
                <w:sz w:val="22"/>
              </w:rPr>
              <w:t>~$9.97B (cons.)</w:t>
            </w:r>
          </w:p>
        </w:tc>
        <w:tc>
          <w:tcPr>
            <w:tcW w:type="dxa" w:w="1234"/>
          </w:tcPr>
          <w:p>
            <w:r>
              <w:rPr>
                <w:rFonts w:ascii="Calibri" w:hAnsi="Calibri"/>
                <w:sz w:val="22"/>
              </w:rPr>
              <w:t>N/A — no explicit rev. guidance</w:t>
            </w:r>
          </w:p>
        </w:tc>
      </w:tr>
      <w:tr>
        <w:tc>
          <w:tcPr>
            <w:tcW w:type="dxa" w:w="1234"/>
          </w:tcPr>
          <w:p>
            <w:r>
              <w:rPr>
                <w:rFonts w:ascii="Calibri" w:hAnsi="Calibri"/>
                <w:sz w:val="22"/>
              </w:rPr>
              <w:t>Operating EPS (Diluted)</w:t>
            </w:r>
          </w:p>
        </w:tc>
        <w:tc>
          <w:tcPr>
            <w:tcW w:type="dxa" w:w="1234"/>
          </w:tcPr>
          <w:p>
            <w:r>
              <w:rPr>
                <w:rFonts w:ascii="Calibri" w:hAnsi="Calibri"/>
                <w:sz w:val="22"/>
              </w:rPr>
              <w:t>$1.10</w:t>
            </w:r>
          </w:p>
        </w:tc>
        <w:tc>
          <w:tcPr>
            <w:tcW w:type="dxa" w:w="1234"/>
          </w:tcPr>
          <w:p>
            <w:r>
              <w:rPr>
                <w:rFonts w:ascii="Calibri" w:hAnsi="Calibri"/>
                <w:sz w:val="22"/>
              </w:rPr>
              <w:t>$3.83</w:t>
            </w:r>
          </w:p>
        </w:tc>
        <w:tc>
          <w:tcPr>
            <w:tcW w:type="dxa" w:w="1234"/>
          </w:tcPr>
          <w:p>
            <w:r>
              <w:rPr>
                <w:rFonts w:ascii="Calibri" w:hAnsi="Calibri"/>
                <w:sz w:val="22"/>
              </w:rPr>
              <w:t>$1.14</w:t>
            </w:r>
          </w:p>
        </w:tc>
        <w:tc>
          <w:tcPr>
            <w:tcW w:type="dxa" w:w="1234"/>
          </w:tcPr>
          <w:p>
            <w:r>
              <w:rPr>
                <w:rFonts w:ascii="Calibri" w:hAnsi="Calibri"/>
                <w:sz w:val="22"/>
              </w:rPr>
              <w:t>+3.6%</w:t>
            </w:r>
          </w:p>
        </w:tc>
        <w:tc>
          <w:tcPr>
            <w:tcW w:type="dxa" w:w="1234"/>
          </w:tcPr>
          <w:p>
            <w:r>
              <w:rPr>
                <w:rFonts w:ascii="Calibri" w:hAnsi="Calibri"/>
                <w:sz w:val="22"/>
              </w:rPr>
              <w:t>~$8.51 FY (cons.)</w:t>
            </w:r>
          </w:p>
        </w:tc>
        <w:tc>
          <w:tcPr>
            <w:tcW w:type="dxa" w:w="1234"/>
          </w:tcPr>
          <w:p>
            <w:r>
              <w:rPr>
                <w:rFonts w:ascii="Calibri" w:hAnsi="Calibri"/>
                <w:sz w:val="22"/>
              </w:rPr>
              <w:t>N/A — no explicit EPS guidance</w:t>
            </w:r>
          </w:p>
        </w:tc>
      </w:tr>
      <w:tr>
        <w:tc>
          <w:tcPr>
            <w:tcW w:type="dxa" w:w="1234"/>
          </w:tcPr>
          <w:p>
            <w:r>
              <w:rPr>
                <w:rFonts w:ascii="Calibri" w:hAnsi="Calibri"/>
                <w:sz w:val="22"/>
              </w:rPr>
              <w:t>Gas Equiv. Production (Mmcfe/d)</w:t>
            </w:r>
          </w:p>
        </w:tc>
        <w:tc>
          <w:tcPr>
            <w:tcW w:type="dxa" w:w="1234"/>
          </w:tcPr>
          <w:p>
            <w:r>
              <w:rPr>
                <w:rFonts w:ascii="Calibri" w:hAnsi="Calibri"/>
                <w:sz w:val="22"/>
              </w:rPr>
              <w:t>7,202</w:t>
            </w:r>
          </w:p>
        </w:tc>
        <w:tc>
          <w:tcPr>
            <w:tcW w:type="dxa" w:w="1234"/>
          </w:tcPr>
          <w:p>
            <w:r>
              <w:rPr>
                <w:rFonts w:ascii="Calibri" w:hAnsi="Calibri"/>
                <w:sz w:val="22"/>
              </w:rPr>
              <w:t>7,436</w:t>
            </w:r>
          </w:p>
        </w:tc>
        <w:tc>
          <w:tcPr>
            <w:tcW w:type="dxa" w:w="1234"/>
          </w:tcPr>
          <w:p>
            <w:r>
              <w:rPr>
                <w:rFonts w:ascii="Calibri" w:hAnsi="Calibri"/>
                <w:sz w:val="22"/>
              </w:rPr>
              <w:t>7,464</w:t>
            </w:r>
          </w:p>
        </w:tc>
        <w:tc>
          <w:tcPr>
            <w:tcW w:type="dxa" w:w="1234"/>
          </w:tcPr>
          <w:p>
            <w:r>
              <w:rPr>
                <w:rFonts w:ascii="Calibri" w:hAnsi="Calibri"/>
                <w:sz w:val="22"/>
              </w:rPr>
              <w:t>+3.6%</w:t>
            </w:r>
          </w:p>
        </w:tc>
        <w:tc>
          <w:tcPr>
            <w:tcW w:type="dxa" w:w="1234"/>
          </w:tcPr>
          <w:p>
            <w:r>
              <w:rPr>
                <w:rFonts w:ascii="Calibri" w:hAnsi="Calibri"/>
                <w:sz w:val="22"/>
              </w:rPr>
              <w:t>7,500 Mmcfe/d (7.5 Bcf/d FY)</w:t>
            </w:r>
          </w:p>
        </w:tc>
        <w:tc>
          <w:tcPr>
            <w:tcW w:type="dxa" w:w="1234"/>
          </w:tcPr>
          <w:p>
            <w:r>
              <w:rPr>
                <w:rFonts w:ascii="Calibri" w:hAnsi="Calibri"/>
                <w:sz w:val="22"/>
              </w:rPr>
              <w:t>−0.5% below guidance midpoint</w:t>
            </w:r>
          </w:p>
        </w:tc>
      </w:tr>
      <w:tr>
        <w:tc>
          <w:tcPr>
            <w:tcW w:type="dxa" w:w="1234"/>
          </w:tcPr>
          <w:p>
            <w:r>
              <w:rPr>
                <w:rFonts w:ascii="Calibri" w:hAnsi="Calibri"/>
                <w:sz w:val="22"/>
              </w:rPr>
              <w:t>Total CapEx ($B)</w:t>
            </w:r>
          </w:p>
        </w:tc>
        <w:tc>
          <w:tcPr>
            <w:tcW w:type="dxa" w:w="1234"/>
          </w:tcPr>
          <w:p>
            <w:r>
              <w:rPr>
                <w:rFonts w:ascii="Calibri" w:hAnsi="Calibri"/>
                <w:sz w:val="22"/>
              </w:rPr>
              <w:t>$0.66B</w:t>
            </w:r>
          </w:p>
        </w:tc>
        <w:tc>
          <w:tcPr>
            <w:tcW w:type="dxa" w:w="1234"/>
          </w:tcPr>
          <w:p>
            <w:r>
              <w:rPr>
                <w:rFonts w:ascii="Calibri" w:hAnsi="Calibri"/>
                <w:sz w:val="22"/>
              </w:rPr>
              <w:t>$0.71B</w:t>
            </w:r>
          </w:p>
        </w:tc>
        <w:tc>
          <w:tcPr>
            <w:tcW w:type="dxa" w:w="1234"/>
          </w:tcPr>
          <w:p>
            <w:r>
              <w:rPr>
                <w:rFonts w:ascii="Calibri" w:hAnsi="Calibri"/>
                <w:sz w:val="22"/>
              </w:rPr>
              <w:t>$0.82B</w:t>
            </w:r>
          </w:p>
        </w:tc>
        <w:tc>
          <w:tcPr>
            <w:tcW w:type="dxa" w:w="1234"/>
          </w:tcPr>
          <w:p>
            <w:r>
              <w:rPr>
                <w:rFonts w:ascii="Calibri" w:hAnsi="Calibri"/>
                <w:sz w:val="22"/>
              </w:rPr>
              <w:t>+24.8%</w:t>
            </w:r>
          </w:p>
        </w:tc>
        <w:tc>
          <w:tcPr>
            <w:tcW w:type="dxa" w:w="1234"/>
          </w:tcPr>
          <w:p>
            <w:r>
              <w:rPr>
                <w:rFonts w:ascii="Calibri" w:hAnsi="Calibri"/>
                <w:sz w:val="22"/>
              </w:rPr>
              <w:t>$2.85B FY</w:t>
            </w:r>
          </w:p>
        </w:tc>
        <w:tc>
          <w:tcPr>
            <w:tcW w:type="dxa" w:w="1234"/>
          </w:tcPr>
          <w:p>
            <w:r>
              <w:rPr>
                <w:rFonts w:ascii="Calibri" w:hAnsi="Calibri"/>
                <w:sz w:val="22"/>
              </w:rPr>
              <w:t>FY cons. $2.86B ≈ in-line</w:t>
            </w:r>
          </w:p>
        </w:tc>
      </w:tr>
      <w:tr>
        <w:tc>
          <w:tcPr>
            <w:tcW w:type="dxa" w:w="1234"/>
          </w:tcPr>
          <w:p>
            <w:r>
              <w:rPr>
                <w:rFonts w:ascii="Calibri" w:hAnsi="Calibri"/>
                <w:sz w:val="22"/>
              </w:rPr>
              <w:t>EBITDAX ($B)</w:t>
            </w:r>
          </w:p>
        </w:tc>
        <w:tc>
          <w:tcPr>
            <w:tcW w:type="dxa" w:w="1234"/>
          </w:tcPr>
          <w:p>
            <w:r>
              <w:rPr>
                <w:rFonts w:ascii="Calibri" w:hAnsi="Calibri"/>
                <w:sz w:val="22"/>
              </w:rPr>
              <w:t>$2.06B</w:t>
            </w:r>
          </w:p>
        </w:tc>
        <w:tc>
          <w:tcPr>
            <w:tcW w:type="dxa" w:w="1234"/>
          </w:tcPr>
          <w:p>
            <w:r>
              <w:rPr>
                <w:rFonts w:ascii="Calibri" w:hAnsi="Calibri"/>
                <w:sz w:val="22"/>
              </w:rPr>
              <w:t>$2.26B</w:t>
            </w:r>
          </w:p>
        </w:tc>
        <w:tc>
          <w:tcPr>
            <w:tcW w:type="dxa" w:w="1234"/>
          </w:tcPr>
          <w:p>
            <w:r>
              <w:rPr>
                <w:rFonts w:ascii="Calibri" w:hAnsi="Calibri"/>
                <w:sz w:val="22"/>
              </w:rPr>
              <w:t>$1.16B</w:t>
            </w:r>
          </w:p>
        </w:tc>
        <w:tc>
          <w:tcPr>
            <w:tcW w:type="dxa" w:w="1234"/>
          </w:tcPr>
          <w:p>
            <w:r>
              <w:rPr>
                <w:rFonts w:ascii="Calibri" w:hAnsi="Calibri"/>
                <w:sz w:val="22"/>
              </w:rPr>
              <w:t>−43.5%</w:t>
            </w:r>
          </w:p>
        </w:tc>
        <w:tc>
          <w:tcPr>
            <w:tcW w:type="dxa" w:w="1234"/>
          </w:tcPr>
          <w:p>
            <w:r>
              <w:rPr>
                <w:rFonts w:ascii="Calibri" w:hAnsi="Calibri"/>
                <w:sz w:val="22"/>
              </w:rPr>
              <w:t>~$6.06B FY (cons.)</w:t>
            </w:r>
          </w:p>
        </w:tc>
        <w:tc>
          <w:tcPr>
            <w:tcW w:type="dxa" w:w="1234"/>
          </w:tcPr>
          <w:p>
            <w:r>
              <w:rPr>
                <w:rFonts w:ascii="Calibri" w:hAnsi="Calibri"/>
                <w:sz w:val="22"/>
              </w:rPr>
              <w:t>N/A — no explicit EBITDAX guidance</w:t>
            </w:r>
          </w:p>
        </w:tc>
      </w:tr>
      <w:tr>
        <w:tc>
          <w:tcPr>
            <w:tcW w:type="dxa" w:w="1234"/>
          </w:tcPr>
          <w:p>
            <w:r>
              <w:rPr>
                <w:rFonts w:ascii="Calibri" w:hAnsi="Calibri"/>
                <w:sz w:val="22"/>
              </w:rPr>
              <w:t>Free Cash Flow ($B)</w:t>
            </w:r>
          </w:p>
        </w:tc>
        <w:tc>
          <w:tcPr>
            <w:tcW w:type="dxa" w:w="1234"/>
          </w:tcPr>
          <w:p>
            <w:r>
              <w:rPr>
                <w:rFonts w:ascii="Calibri" w:hAnsi="Calibri"/>
                <w:sz w:val="22"/>
              </w:rPr>
              <w:t>$0.27B</w:t>
            </w:r>
          </w:p>
        </w:tc>
        <w:tc>
          <w:tcPr>
            <w:tcW w:type="dxa" w:w="1234"/>
          </w:tcPr>
          <w:p>
            <w:r>
              <w:rPr>
                <w:rFonts w:ascii="Calibri" w:hAnsi="Calibri"/>
                <w:sz w:val="22"/>
              </w:rPr>
              <w:t>$1.23B</w:t>
            </w:r>
          </w:p>
        </w:tc>
        <w:tc>
          <w:tcPr>
            <w:tcW w:type="dxa" w:w="1234"/>
          </w:tcPr>
          <w:p>
            <w:r>
              <w:rPr>
                <w:rFonts w:ascii="Calibri" w:hAnsi="Calibri"/>
                <w:sz w:val="22"/>
              </w:rPr>
              <w:t>$0.31B</w:t>
            </w:r>
          </w:p>
        </w:tc>
        <w:tc>
          <w:tcPr>
            <w:tcW w:type="dxa" w:w="1234"/>
          </w:tcPr>
          <w:p>
            <w:r>
              <w:rPr>
                <w:rFonts w:ascii="Calibri" w:hAnsi="Calibri"/>
                <w:sz w:val="22"/>
              </w:rPr>
              <w:t>+13.1%</w:t>
            </w:r>
          </w:p>
        </w:tc>
        <w:tc>
          <w:tcPr>
            <w:tcW w:type="dxa" w:w="1234"/>
          </w:tcPr>
          <w:p>
            <w:r>
              <w:rPr>
                <w:rFonts w:ascii="Calibri" w:hAnsi="Calibri"/>
                <w:sz w:val="22"/>
              </w:rPr>
              <w:t>~$2.91B FY (cons.)</w:t>
            </w:r>
          </w:p>
        </w:tc>
        <w:tc>
          <w:tcPr>
            <w:tcW w:type="dxa" w:w="1234"/>
          </w:tcPr>
          <w:p>
            <w:r>
              <w:rPr>
                <w:rFonts w:ascii="Calibri" w:hAnsi="Calibri"/>
                <w:sz w:val="22"/>
              </w:rPr>
              <w:t>N/A — no explicit FCF guidance</w:t>
            </w:r>
          </w:p>
        </w:tc>
      </w:tr>
      <w:tr>
        <w:tc>
          <w:tcPr>
            <w:tcW w:type="dxa" w:w="1234"/>
          </w:tcPr>
          <w:p>
            <w:r>
              <w:rPr>
                <w:rFonts w:ascii="Calibri" w:hAnsi="Calibri"/>
                <w:sz w:val="22"/>
              </w:rPr>
              <w:t>Nat. Gas Price Incl. Hedging ($/Mcf)</w:t>
            </w:r>
          </w:p>
        </w:tc>
        <w:tc>
          <w:tcPr>
            <w:tcW w:type="dxa" w:w="1234"/>
          </w:tcPr>
          <w:p>
            <w:r>
              <w:rPr>
                <w:rFonts w:ascii="Calibri" w:hAnsi="Calibri"/>
                <w:sz w:val="22"/>
              </w:rPr>
              <w:t>$2.98</w:t>
            </w:r>
          </w:p>
        </w:tc>
        <w:tc>
          <w:tcPr>
            <w:tcW w:type="dxa" w:w="1234"/>
          </w:tcPr>
          <w:p>
            <w:r>
              <w:rPr>
                <w:rFonts w:ascii="Calibri" w:hAnsi="Calibri"/>
                <w:sz w:val="22"/>
              </w:rPr>
              <w:t>$4.28</w:t>
            </w:r>
          </w:p>
        </w:tc>
        <w:tc>
          <w:tcPr>
            <w:tcW w:type="dxa" w:w="1234"/>
          </w:tcPr>
          <w:p>
            <w:r>
              <w:rPr>
                <w:rFonts w:ascii="Calibri" w:hAnsi="Calibri"/>
                <w:sz w:val="22"/>
              </w:rPr>
              <w:t>$2.90</w:t>
            </w:r>
          </w:p>
        </w:tc>
        <w:tc>
          <w:tcPr>
            <w:tcW w:type="dxa" w:w="1234"/>
          </w:tcPr>
          <w:p>
            <w:r>
              <w:rPr>
                <w:rFonts w:ascii="Calibri" w:hAnsi="Calibri"/>
                <w:sz w:val="22"/>
              </w:rPr>
              <w:t>−2.7%</w:t>
            </w:r>
          </w:p>
        </w:tc>
        <w:tc>
          <w:tcPr>
            <w:tcW w:type="dxa" w:w="1234"/>
          </w:tcPr>
          <w:p>
            <w:r>
              <w:rPr>
                <w:rFonts w:ascii="Calibri" w:hAnsi="Calibri"/>
                <w:sz w:val="22"/>
              </w:rPr>
              <w:t>~$3.41 FY (cons.)</w:t>
            </w:r>
          </w:p>
        </w:tc>
        <w:tc>
          <w:tcPr>
            <w:tcW w:type="dxa" w:w="1234"/>
          </w:tcPr>
          <w:p>
            <w:r>
              <w:rPr>
                <w:rFonts w:ascii="Calibri" w:hAnsi="Calibri"/>
                <w:sz w:val="22"/>
              </w:rPr>
              <w:t>N/A — no explicit price guidance</w:t>
            </w:r>
          </w:p>
        </w:tc>
      </w:tr>
      <w:tr>
        <w:tc>
          <w:tcPr>
            <w:tcW w:type="dxa" w:w="1234"/>
          </w:tcPr>
          <w:p>
            <w:r>
              <w:rPr>
                <w:rFonts w:ascii="Calibri" w:hAnsi="Calibri"/>
                <w:sz w:val="22"/>
              </w:rPr>
              <w:t>Marketing Margin ($M)</w:t>
            </w:r>
          </w:p>
        </w:tc>
        <w:tc>
          <w:tcPr>
            <w:tcW w:type="dxa" w:w="1234"/>
          </w:tcPr>
          <w:p>
            <w:r>
              <w:rPr>
                <w:rFonts w:ascii="Calibri" w:hAnsi="Calibri"/>
                <w:sz w:val="22"/>
              </w:rPr>
              <w:t>−$3M</w:t>
            </w:r>
          </w:p>
        </w:tc>
        <w:tc>
          <w:tcPr>
            <w:tcW w:type="dxa" w:w="1234"/>
          </w:tcPr>
          <w:p>
            <w:r>
              <w:rPr>
                <w:rFonts w:ascii="Calibri" w:hAnsi="Calibri"/>
                <w:sz w:val="22"/>
              </w:rPr>
              <w:t>$91M</w:t>
            </w:r>
          </w:p>
        </w:tc>
        <w:tc>
          <w:tcPr>
            <w:tcW w:type="dxa" w:w="1234"/>
          </w:tcPr>
          <w:p>
            <w:r>
              <w:rPr>
                <w:rFonts w:ascii="Calibri" w:hAnsi="Calibri"/>
                <w:sz w:val="22"/>
              </w:rPr>
              <w:t>$17M</w:t>
            </w:r>
          </w:p>
        </w:tc>
        <w:tc>
          <w:tcPr>
            <w:tcW w:type="dxa" w:w="1234"/>
          </w:tcPr>
          <w:p>
            <w:r>
              <w:rPr>
                <w:rFonts w:ascii="Calibri" w:hAnsi="Calibri"/>
                <w:sz w:val="22"/>
              </w:rPr>
              <w:t>NM</w:t>
            </w:r>
          </w:p>
        </w:tc>
        <w:tc>
          <w:tcPr>
            <w:tcW w:type="dxa" w:w="1234"/>
          </w:tcPr>
          <w:p>
            <w:r>
              <w:rPr>
                <w:rFonts w:ascii="Calibri" w:hAnsi="Calibri"/>
                <w:sz w:val="22"/>
              </w:rPr>
              <w:t>~$135M FY (cons.)</w:t>
            </w:r>
          </w:p>
        </w:tc>
        <w:tc>
          <w:tcPr>
            <w:tcW w:type="dxa" w:w="1234"/>
          </w:tcPr>
          <w:p>
            <w:r>
              <w:rPr>
                <w:rFonts w:ascii="Calibri" w:hAnsi="Calibri"/>
                <w:sz w:val="22"/>
              </w:rPr>
              <w:t>Key upside lever; mgmt targets $500M+ run-rate</w:t>
            </w:r>
          </w:p>
        </w:tc>
      </w:tr>
    </w:tbl>
    <w:p>
      <w:r>
        <w:rPr>
          <w:rFonts w:ascii="Calibri" w:hAnsi="Calibri"/>
          <w:i/>
          <w:color w:val="525866"/>
          <w:sz w:val="22"/>
        </w:rPr>
        <w:t>Source: Visible Alpha consensus and actuals data. Q2 2026 consensus as of July 28, 2026. Q1 2026 actuals as reported April 28, 2026. YoY change compares Q2 2026 consensus vs. Q2 2025 actual.</w:t>
      </w:r>
    </w:p>
    <w:p>
      <w:pPr>
        <w:pStyle w:val="Heading3"/>
      </w:pPr>
      <w:r>
        <w:rPr>
          <w:rFonts w:ascii="Calibri" w:hAnsi="Calibri"/>
          <w:b/>
          <w:color w:val="3B4259"/>
          <w:sz w:val="24"/>
        </w:rPr>
        <w:t>Table 2 — Beat / Miss History (Last 8 Quarters, Top 2 KPIs)</w:t>
      </w:r>
    </w:p>
    <w:p>
      <w:r>
        <w:rPr>
          <w:rFonts w:ascii="Calibri" w:hAnsi="Calibri"/>
          <w:b/>
          <w:color w:val="525866"/>
          <w:sz w:val="22"/>
        </w:rPr>
        <w:t>Top KPI #1: Gas Equivalent Production (Mmcfe/d)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7,436</w:t>
            </w:r>
          </w:p>
        </w:tc>
        <w:tc>
          <w:tcPr>
            <w:tcW w:type="dxa" w:w="1728"/>
          </w:tcPr>
          <w:p>
            <w:r>
              <w:rPr>
                <w:rFonts w:ascii="Calibri" w:hAnsi="Calibri"/>
                <w:sz w:val="22"/>
              </w:rPr>
              <w:t>7,437</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Q4 2025</w:t>
            </w:r>
          </w:p>
        </w:tc>
        <w:tc>
          <w:tcPr>
            <w:tcW w:type="dxa" w:w="1728"/>
          </w:tcPr>
          <w:p>
            <w:r>
              <w:rPr>
                <w:rFonts w:ascii="Calibri" w:hAnsi="Calibri"/>
                <w:sz w:val="22"/>
              </w:rPr>
              <w:t>7,400</w:t>
            </w:r>
          </w:p>
        </w:tc>
        <w:tc>
          <w:tcPr>
            <w:tcW w:type="dxa" w:w="1728"/>
          </w:tcPr>
          <w:p>
            <w:r>
              <w:rPr>
                <w:rFonts w:ascii="Calibri" w:hAnsi="Calibri"/>
                <w:sz w:val="22"/>
              </w:rPr>
              <w:t>7,318</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7,333</w:t>
            </w:r>
          </w:p>
        </w:tc>
        <w:tc>
          <w:tcPr>
            <w:tcW w:type="dxa" w:w="1728"/>
          </w:tcPr>
          <w:p>
            <w:r>
              <w:rPr>
                <w:rFonts w:ascii="Calibri" w:hAnsi="Calibri"/>
                <w:sz w:val="22"/>
              </w:rPr>
              <w:t>7,232</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7,202</w:t>
            </w:r>
          </w:p>
        </w:tc>
        <w:tc>
          <w:tcPr>
            <w:tcW w:type="dxa" w:w="1728"/>
          </w:tcPr>
          <w:p>
            <w:r>
              <w:rPr>
                <w:rFonts w:ascii="Calibri" w:hAnsi="Calibri"/>
                <w:sz w:val="22"/>
              </w:rPr>
              <w:t>7,166</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N/A — pre-merger</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N/A — pre-merger</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N/A — pre-merger</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N/A — pre-merger</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Top KPI #2: Operating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$3.83</w:t>
            </w:r>
          </w:p>
        </w:tc>
        <w:tc>
          <w:tcPr>
            <w:tcW w:type="dxa" w:w="1728"/>
          </w:tcPr>
          <w:p>
            <w:r>
              <w:rPr>
                <w:rFonts w:ascii="Calibri" w:hAnsi="Calibri"/>
                <w:sz w:val="22"/>
              </w:rPr>
              <w:t>$3.66</w:t>
            </w:r>
          </w:p>
        </w:tc>
        <w:tc>
          <w:tcPr>
            <w:tcW w:type="dxa" w:w="1728"/>
          </w:tcPr>
          <w:p>
            <w:r>
              <w:rPr>
                <w:rFonts w:ascii="Calibri" w:hAnsi="Calibri"/>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$2.00</w:t>
            </w:r>
          </w:p>
        </w:tc>
        <w:tc>
          <w:tcPr>
            <w:tcW w:type="dxa" w:w="1728"/>
          </w:tcPr>
          <w:p>
            <w:r>
              <w:rPr>
                <w:rFonts w:ascii="Calibri" w:hAnsi="Calibri"/>
                <w:sz w:val="22"/>
              </w:rPr>
              <w:t>$1.87</w:t>
            </w:r>
          </w:p>
        </w:tc>
        <w:tc>
          <w:tcPr>
            <w:tcW w:type="dxa" w:w="1728"/>
          </w:tcPr>
          <w:p>
            <w:r>
              <w:rPr>
                <w:rFonts w:ascii="Calibri" w:hAnsi="Calibri"/>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$0.98</w:t>
            </w:r>
          </w:p>
        </w:tc>
        <w:tc>
          <w:tcPr>
            <w:tcW w:type="dxa" w:w="1728"/>
          </w:tcPr>
          <w:p>
            <w:r>
              <w:rPr>
                <w:rFonts w:ascii="Calibri" w:hAnsi="Calibri"/>
                <w:sz w:val="22"/>
              </w:rPr>
              <w:t>$0.83</w:t>
            </w:r>
          </w:p>
        </w:tc>
        <w:tc>
          <w:tcPr>
            <w:tcW w:type="dxa" w:w="1728"/>
          </w:tcPr>
          <w:p>
            <w:r>
              <w:rPr>
                <w:rFonts w:ascii="Calibri" w:hAnsi="Calibri"/>
                <w:sz w:val="22"/>
              </w:rPr>
              <w:t>+17.5%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$1.10</w:t>
            </w:r>
          </w:p>
        </w:tc>
        <w:tc>
          <w:tcPr>
            <w:tcW w:type="dxa" w:w="1728"/>
          </w:tcPr>
          <w:p>
            <w:r>
              <w:rPr>
                <w:rFonts w:ascii="Calibri" w:hAnsi="Calibri"/>
                <w:sz w:val="22"/>
              </w:rPr>
              <w:t>$1.09</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N/A — pre-merger</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2024</w:t>
            </w:r>
          </w:p>
        </w:tc>
        <w:tc>
          <w:tcPr>
            <w:tcW w:type="dxa" w:w="1728"/>
          </w:tcPr>
          <w:p>
            <w:r>
              <w:rPr>
                <w:rFonts w:ascii="Calibri" w:hAnsi="Calibri"/>
                <w:sz w:val="22"/>
              </w:rPr>
              <w:t>N/A — pre-merger</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N/A — pre-merger</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Q2 2024</w:t>
            </w:r>
          </w:p>
        </w:tc>
        <w:tc>
          <w:tcPr>
            <w:tcW w:type="dxa" w:w="1728"/>
          </w:tcPr>
          <w:p>
            <w:r>
              <w:rPr>
                <w:rFonts w:ascii="Calibri" w:hAnsi="Calibri"/>
                <w:sz w:val="22"/>
              </w:rPr>
              <w:t>N/A — pre-merger</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EXE has beaten on operating EPS in every quarter since the merger closed (Q2–Q4 2025 and Q1 2026), with the magnitude of beats accelerating — from a near-in-line Q2 2025 to a +17.5% beat in Q3 2025 and +4.6% in Q1 2026 — driven by synergy realization and marketing upside. Production has also consistently beaten or matched consensus. Pre-merger quarters are excluded as the combined entity did not exist.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Full-year production and CapEx guidance are unchanged since the Q1 2026 earnings call, but the July 27 Twin Eagle acquisition announcement materially changes the forward narrative — management is now targeting </w:t>
      </w:r>
      <w:r>
        <w:rPr>
          <w:rFonts w:ascii="Calibri" w:hAnsi="Calibri"/>
          <w:b/>
          <w:color w:val="30A46C"/>
          <w:sz w:val="22"/>
        </w:rPr>
        <w:t>$750M/year of incremental FCF from marketing</w:t>
      </w:r>
      <w:r>
        <w:rPr>
          <w:rFonts w:ascii="Calibri" w:hAnsi="Calibri"/>
          <w:color w:val="525866"/>
          <w:sz w:val="22"/>
        </w:rPr>
        <w:t xml:space="preserve"> (up 50% from the prior $500M target), which will be the dominant topic on the Q2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Production</w:t>
            </w:r>
          </w:p>
        </w:tc>
        <w:tc>
          <w:tcPr>
            <w:tcW w:type="dxa" w:w="1728"/>
          </w:tcPr>
          <w:p>
            <w:r>
              <w:rPr>
                <w:rFonts w:ascii="Calibri" w:hAnsi="Calibri"/>
                <w:sz w:val="22"/>
              </w:rPr>
              <w:t>7.5 Bcf/d</w:t>
            </w:r>
          </w:p>
        </w:tc>
        <w:tc>
          <w:tcPr>
            <w:tcW w:type="dxa" w:w="1728"/>
          </w:tcPr>
          <w:p>
            <w:r>
              <w:rPr>
                <w:rFonts w:ascii="Calibri" w:hAnsi="Calibri"/>
                <w:sz w:val="22"/>
              </w:rPr>
              <w:t>Unchanged</w:t>
            </w:r>
          </w:p>
        </w:tc>
        <w:tc>
          <w:tcPr>
            <w:tcW w:type="dxa" w:w="1728"/>
          </w:tcPr>
          <w:p>
            <w:r>
              <w:rPr>
                <w:rFonts w:ascii="Calibri" w:hAnsi="Calibri"/>
                <w:sz w:val="22"/>
              </w:rPr>
              <w:t>7,508 Mmcfe/d</w:t>
            </w:r>
          </w:p>
        </w:tc>
        <w:tc>
          <w:tcPr>
            <w:tcW w:type="dxa" w:w="1728"/>
          </w:tcPr>
          <w:p>
            <w:r>
              <w:rPr>
                <w:rFonts w:ascii="Calibri" w:hAnsi="Calibri"/>
                <w:sz w:val="22"/>
              </w:rPr>
              <w:t>Reaffirmed on Q1 call; Q2 expected to be in-line, with modest growth in Q3/Q4</w:t>
            </w:r>
          </w:p>
        </w:tc>
      </w:tr>
      <w:tr>
        <w:tc>
          <w:tcPr>
            <w:tcW w:type="dxa" w:w="1728"/>
          </w:tcPr>
          <w:p>
            <w:r>
              <w:rPr>
                <w:rFonts w:ascii="Calibri" w:hAnsi="Calibri"/>
                <w:sz w:val="22"/>
              </w:rPr>
              <w:t>FY 2026 Total CapEx</w:t>
            </w:r>
          </w:p>
        </w:tc>
        <w:tc>
          <w:tcPr>
            <w:tcW w:type="dxa" w:w="1728"/>
          </w:tcPr>
          <w:p>
            <w:r>
              <w:rPr>
                <w:rFonts w:ascii="Calibri" w:hAnsi="Calibri"/>
                <w:sz w:val="22"/>
              </w:rPr>
              <w:t>$2.85B</w:t>
            </w:r>
          </w:p>
        </w:tc>
        <w:tc>
          <w:tcPr>
            <w:tcW w:type="dxa" w:w="1728"/>
          </w:tcPr>
          <w:p>
            <w:r>
              <w:rPr>
                <w:rFonts w:ascii="Calibri" w:hAnsi="Calibri"/>
                <w:sz w:val="22"/>
              </w:rPr>
              <w:t>Unchanged</w:t>
            </w:r>
          </w:p>
        </w:tc>
        <w:tc>
          <w:tcPr>
            <w:tcW w:type="dxa" w:w="1728"/>
          </w:tcPr>
          <w:p>
            <w:r>
              <w:rPr>
                <w:rFonts w:ascii="Calibri" w:hAnsi="Calibri"/>
                <w:sz w:val="22"/>
              </w:rPr>
              <w:t>$2.86B</w:t>
            </w:r>
          </w:p>
        </w:tc>
        <w:tc>
          <w:tcPr>
            <w:tcW w:type="dxa" w:w="1728"/>
          </w:tcPr>
          <w:p>
            <w:r>
              <w:rPr>
                <w:rFonts w:ascii="Calibri" w:hAnsi="Calibri"/>
                <w:sz w:val="22"/>
              </w:rPr>
              <w:t>Q2 is peak CapEx quarter; DNC activity steps down in H2 as Appalachia rigs come out</w:t>
            </w:r>
          </w:p>
        </w:tc>
      </w:tr>
      <w:tr>
        <w:tc>
          <w:tcPr>
            <w:tcW w:type="dxa" w:w="1728"/>
          </w:tcPr>
          <w:p>
            <w:r>
              <w:rPr>
                <w:rFonts w:ascii="Calibri" w:hAnsi="Calibri"/>
                <w:sz w:val="22"/>
              </w:rPr>
              <w:t>Marketing FCF Target (annual run-rate)</w:t>
            </w:r>
          </w:p>
        </w:tc>
        <w:tc>
          <w:tcPr>
            <w:tcW w:type="dxa" w:w="1728"/>
          </w:tcPr>
          <w:p>
            <w:r>
              <w:rPr>
                <w:rFonts w:ascii="Calibri" w:hAnsi="Calibri"/>
                <w:sz w:val="22"/>
              </w:rPr>
              <w:t>~$500M/year incremental</w:t>
            </w:r>
          </w:p>
        </w:tc>
        <w:tc>
          <w:tcPr>
            <w:tcW w:type="dxa" w:w="1728"/>
          </w:tcPr>
          <w:p>
            <w:r>
              <w:rPr>
                <w:rFonts w:ascii="Calibri" w:hAnsi="Calibri"/>
                <w:sz w:val="22"/>
              </w:rPr>
              <w:t>~$750M/year incremental</w:t>
            </w:r>
          </w:p>
        </w:tc>
        <w:tc>
          <w:tcPr>
            <w:tcW w:type="dxa" w:w="1728"/>
          </w:tcPr>
          <w:p>
            <w:r>
              <w:rPr>
                <w:rFonts w:ascii="Calibri" w:hAnsi="Calibri"/>
                <w:sz w:val="22"/>
              </w:rPr>
              <w:t>~$135M FY 2026 marketing margin (cons.)</w:t>
            </w:r>
          </w:p>
        </w:tc>
        <w:tc>
          <w:tcPr>
            <w:tcW w:type="dxa" w:w="1728"/>
          </w:tcPr>
          <w:p>
            <w:r>
              <w:rPr>
                <w:rFonts w:ascii="Calibri" w:hAnsi="Calibri"/>
                <w:sz w:val="22"/>
              </w:rPr>
              <w:t>↑ Raised Jul 27, 2026 via Twin Eagle acquisition announcement; 50% increase reflects Twin Eagle’s repeatable earnings + integrated platform</w:t>
            </w:r>
          </w:p>
        </w:tc>
      </w:tr>
      <w:tr>
        <w:tc>
          <w:tcPr>
            <w:tcW w:type="dxa" w:w="1728"/>
          </w:tcPr>
          <w:p>
            <w:r>
              <w:rPr>
                <w:rFonts w:ascii="Calibri" w:hAnsi="Calibri"/>
                <w:sz w:val="22"/>
              </w:rPr>
              <w:t>Debt Reduction Target</w:t>
            </w:r>
          </w:p>
        </w:tc>
        <w:tc>
          <w:tcPr>
            <w:tcW w:type="dxa" w:w="1728"/>
          </w:tcPr>
          <w:p>
            <w:r>
              <w:rPr>
                <w:rFonts w:ascii="Calibri" w:hAnsi="Calibri"/>
                <w:sz w:val="22"/>
              </w:rPr>
              <w:t>≥$1B for FY 2026</w:t>
            </w:r>
          </w:p>
        </w:tc>
        <w:tc>
          <w:tcPr>
            <w:tcW w:type="dxa" w:w="1728"/>
          </w:tcPr>
          <w:p>
            <w:r>
              <w:rPr>
                <w:rFonts w:ascii="Calibri" w:hAnsi="Calibri"/>
                <w:sz w:val="22"/>
              </w:rPr>
              <w:t>Target met in Q1; focus shifts to buybacks</w:t>
            </w:r>
          </w:p>
        </w:tc>
        <w:tc>
          <w:tcPr>
            <w:tcW w:type="dxa" w:w="1728"/>
          </w:tcPr>
          <w:p>
            <w:r>
              <w:rPr>
                <w:rFonts w:ascii="Calibri" w:hAnsi="Calibri"/>
                <w:sz w:val="22"/>
              </w:rPr>
              <w:t>N/A</w:t>
            </w:r>
          </w:p>
        </w:tc>
        <w:tc>
          <w:tcPr>
            <w:tcW w:type="dxa" w:w="1728"/>
          </w:tcPr>
          <w:p>
            <w:r>
              <w:rPr>
                <w:rFonts w:ascii="Calibri" w:hAnsi="Calibri"/>
                <w:sz w:val="22"/>
              </w:rPr>
              <w:t>Debt target achieved ahead of schedule; capital allocation rebalancing toward share repurchases for remainder of 2026</w:t>
            </w:r>
          </w:p>
        </w:tc>
      </w:tr>
      <w:tr>
        <w:tc>
          <w:tcPr>
            <w:tcW w:type="dxa" w:w="1728"/>
          </w:tcPr>
          <w:p>
            <w:r>
              <w:rPr>
                <w:rFonts w:ascii="Calibri" w:hAnsi="Calibri"/>
                <w:sz w:val="22"/>
              </w:rPr>
              <w:t>CEO Search</w:t>
            </w:r>
          </w:p>
        </w:tc>
        <w:tc>
          <w:tcPr>
            <w:tcW w:type="dxa" w:w="1728"/>
          </w:tcPr>
          <w:p>
            <w:r>
              <w:rPr>
                <w:rFonts w:ascii="Calibri" w:hAnsi="Calibri"/>
                <w:sz w:val="22"/>
              </w:rPr>
              <w:t>~6-month timeline from Q1 call (targeting ~Oct 2026)</w:t>
            </w:r>
          </w:p>
        </w:tc>
        <w:tc>
          <w:tcPr>
            <w:tcW w:type="dxa" w:w="1728"/>
          </w:tcPr>
          <w:p>
            <w:r>
              <w:rPr>
                <w:rFonts w:ascii="Calibri" w:hAnsi="Calibri"/>
                <w:sz w:val="22"/>
              </w:rPr>
              <w:t>Unchanged; “on target”</w:t>
            </w:r>
          </w:p>
        </w:tc>
        <w:tc>
          <w:tcPr>
            <w:tcW w:type="dxa" w:w="1728"/>
          </w:tcPr>
          <w:p>
            <w:r>
              <w:rPr>
                <w:rFonts w:ascii="Calibri" w:hAnsi="Calibri"/>
                <w:sz w:val="22"/>
              </w:rPr>
              <w:t>N/A</w:t>
            </w:r>
          </w:p>
        </w:tc>
        <w:tc>
          <w:tcPr>
            <w:tcW w:type="dxa" w:w="1728"/>
          </w:tcPr>
          <w:p>
            <w:r>
              <w:rPr>
                <w:rFonts w:ascii="Calibri" w:hAnsi="Calibri"/>
                <w:sz w:val="22"/>
              </w:rPr>
              <w:t>Interim CEO Wichterich confirmed search on track; energy-sector candidate expected</w:t>
            </w:r>
          </w:p>
        </w:tc>
      </w:tr>
      <w:tr>
        <w:tc>
          <w:tcPr>
            <w:tcW w:type="dxa" w:w="1728"/>
          </w:tcPr>
          <w:p>
            <w:r>
              <w:rPr>
                <w:rFonts w:ascii="Calibri" w:hAnsi="Calibri"/>
                <w:sz w:val="22"/>
              </w:rPr>
              <w:t>Twin Eagle Acquisition</w:t>
            </w:r>
          </w:p>
        </w:tc>
        <w:tc>
          <w:tcPr>
            <w:tcW w:type="dxa" w:w="1728"/>
          </w:tcPr>
          <w:p>
            <w:r>
              <w:rPr>
                <w:rFonts w:ascii="Calibri" w:hAnsi="Calibri"/>
                <w:sz w:val="22"/>
              </w:rPr>
              <w:t>Not announced</w:t>
            </w:r>
          </w:p>
        </w:tc>
        <w:tc>
          <w:tcPr>
            <w:tcW w:type="dxa" w:w="1728"/>
          </w:tcPr>
          <w:p>
            <w:r>
              <w:rPr>
                <w:rFonts w:ascii="Calibri" w:hAnsi="Calibri"/>
                <w:sz w:val="22"/>
              </w:rPr>
              <w:t>$1.25B acquisition; close expected Q3 2026</w:t>
            </w:r>
          </w:p>
        </w:tc>
        <w:tc>
          <w:tcPr>
            <w:tcW w:type="dxa" w:w="1728"/>
          </w:tcPr>
          <w:p>
            <w:r>
              <w:rPr>
                <w:rFonts w:ascii="Calibri" w:hAnsi="Calibri"/>
                <w:sz w:val="22"/>
              </w:rPr>
              <w:t>N/A — not yet in consensus</w:t>
            </w:r>
          </w:p>
        </w:tc>
        <w:tc>
          <w:tcPr>
            <w:tcW w:type="dxa" w:w="1728"/>
          </w:tcPr>
          <w:p>
            <w:r>
              <w:rPr>
                <w:rFonts w:ascii="Calibri" w:hAnsi="Calibri"/>
                <w:sz w:val="22"/>
              </w:rPr>
              <w:t>↑ New Jul 27, 2026 (8-K); immediately accretive; &gt;$200M EBITDA contribution; $150M synergies by YE 2028</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2026 EPS consensus moved only +$0.001 and production was essentially flat — suggesting the street has not materially re-rated the story. The gap between the $500M marketing FCF target (now raised to $750M) and the ~$135M FY 2026 consensus marketing margin represents the largest unmodeled upside in the story.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(Period)</w:t>
            </w:r>
          </w:p>
        </w:tc>
        <w:tc>
          <w:tcPr>
            <w:tcW w:type="dxa" w:w="1234"/>
            <w:shd w:val="clear" w:color="auto" w:fill="3B4259"/>
          </w:tcPr>
          <w:p>
            <w:r>
              <w:rPr>
                <w:rFonts w:ascii="Calibri" w:hAnsi="Calibri"/>
                <w:b/>
                <w:color w:val="FFFFFF"/>
                <w:sz w:val="22"/>
              </w:rPr>
              <w:t>Estimate ~5 Days Post Q1 Earnings (May 5, 2026)</w:t>
            </w:r>
          </w:p>
        </w:tc>
        <w:tc>
          <w:tcPr>
            <w:tcW w:type="dxa" w:w="1234"/>
            <w:shd w:val="clear" w:color="auto" w:fill="3B4259"/>
          </w:tcPr>
          <w:p>
            <w:r>
              <w:rPr>
                <w:rFonts w:ascii="Calibri" w:hAnsi="Calibri"/>
                <w:b/>
                <w:color w:val="FFFFFF"/>
                <w:sz w:val="22"/>
              </w:rPr>
              <w:t>Current Consensus (Jul 28, 2026)</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(Q1 Call)</w:t>
            </w:r>
          </w:p>
        </w:tc>
        <w:tc>
          <w:tcPr>
            <w:tcW w:type="dxa" w:w="1234"/>
            <w:shd w:val="clear" w:color="auto" w:fill="3B4259"/>
          </w:tcPr>
          <w:p>
            <w:r>
              <w:rPr>
                <w:rFonts w:ascii="Calibri" w:hAnsi="Calibri"/>
                <w:b/>
                <w:color w:val="FFFFFF"/>
                <w:sz w:val="22"/>
              </w:rPr>
              <w:t>Current Guidance</w:t>
            </w:r>
          </w:p>
        </w:tc>
        <w:tc>
          <w:tcPr>
            <w:tcW w:type="dxa" w:w="1234"/>
            <w:shd w:val="clear" w:color="auto" w:fill="3B4259"/>
          </w:tcPr>
          <w:p>
            <w:r>
              <w:rPr>
                <w:rFonts w:ascii="Calibri" w:hAnsi="Calibri"/>
                <w:b/>
                <w:color w:val="FFFFFF"/>
                <w:sz w:val="22"/>
              </w:rPr>
              <w:t>Cons. vs. Guidance (%)</w:t>
            </w:r>
          </w:p>
        </w:tc>
      </w:tr>
      <w:tr>
        <w:tc>
          <w:tcPr>
            <w:tcW w:type="dxa" w:w="1234"/>
          </w:tcPr>
          <w:p>
            <w:r>
              <w:rPr>
                <w:rFonts w:ascii="Calibri" w:hAnsi="Calibri"/>
                <w:sz w:val="22"/>
              </w:rPr>
              <w:t>Operating EPS — Q2 2026</w:t>
            </w:r>
          </w:p>
        </w:tc>
        <w:tc>
          <w:tcPr>
            <w:tcW w:type="dxa" w:w="1234"/>
          </w:tcPr>
          <w:p>
            <w:r>
              <w:rPr>
                <w:rFonts w:ascii="Calibri" w:hAnsi="Calibri"/>
                <w:sz w:val="22"/>
              </w:rPr>
              <w:t>$1.142</w:t>
            </w:r>
          </w:p>
        </w:tc>
        <w:tc>
          <w:tcPr>
            <w:tcW w:type="dxa" w:w="1234"/>
          </w:tcPr>
          <w:p>
            <w:r>
              <w:rPr>
                <w:rFonts w:ascii="Calibri" w:hAnsi="Calibri"/>
                <w:sz w:val="22"/>
              </w:rPr>
              <w:t>$1.143</w:t>
            </w:r>
          </w:p>
        </w:tc>
        <w:tc>
          <w:tcPr>
            <w:tcW w:type="dxa" w:w="1234"/>
          </w:tcPr>
          <w:p>
            <w:r>
              <w:rPr>
                <w:rFonts w:ascii="Calibri" w:hAnsi="Calibri"/>
                <w:sz w:val="22"/>
              </w:rPr>
              <w:t>+0.1%</w:t>
            </w:r>
          </w:p>
        </w:tc>
        <w:tc>
          <w:tcPr>
            <w:tcW w:type="dxa" w:w="1234"/>
          </w:tcPr>
          <w:p>
            <w:r>
              <w:rPr>
                <w:rFonts w:ascii="Calibri" w:hAnsi="Calibri"/>
                <w:sz w:val="22"/>
              </w:rPr>
              <w:t>No explicit quarterly EPS guidance</w:t>
            </w:r>
          </w:p>
        </w:tc>
        <w:tc>
          <w:tcPr>
            <w:tcW w:type="dxa" w:w="1234"/>
          </w:tcPr>
          <w:p>
            <w:r>
              <w:rPr>
                <w:rFonts w:ascii="Calibri" w:hAnsi="Calibri"/>
                <w:sz w:val="22"/>
              </w:rPr>
              <w:t>Unchanged</w:t>
            </w:r>
          </w:p>
        </w:tc>
        <w:tc>
          <w:tcPr>
            <w:tcW w:type="dxa" w:w="1234"/>
          </w:tcPr>
          <w:p>
            <w:r>
              <w:rPr>
                <w:rFonts w:ascii="Calibri" w:hAnsi="Calibri"/>
                <w:sz w:val="22"/>
              </w:rPr>
              <w:t>N/A</w:t>
            </w:r>
          </w:p>
        </w:tc>
      </w:tr>
      <w:tr>
        <w:tc>
          <w:tcPr>
            <w:tcW w:type="dxa" w:w="1234"/>
          </w:tcPr>
          <w:p>
            <w:r>
              <w:rPr>
                <w:rFonts w:ascii="Calibri" w:hAnsi="Calibri"/>
                <w:sz w:val="22"/>
              </w:rPr>
              <w:t>Operating EPS — FY 2026</w:t>
            </w:r>
          </w:p>
        </w:tc>
        <w:tc>
          <w:tcPr>
            <w:tcW w:type="dxa" w:w="1234"/>
          </w:tcPr>
          <w:p>
            <w:r>
              <w:rPr>
                <w:rFonts w:ascii="Calibri" w:hAnsi="Calibri"/>
                <w:sz w:val="22"/>
              </w:rPr>
              <w:t>$8.919</w:t>
            </w:r>
          </w:p>
        </w:tc>
        <w:tc>
          <w:tcPr>
            <w:tcW w:type="dxa" w:w="1234"/>
          </w:tcPr>
          <w:p>
            <w:r>
              <w:rPr>
                <w:rFonts w:ascii="Calibri" w:hAnsi="Calibri"/>
                <w:sz w:val="22"/>
              </w:rPr>
              <w:t>$8.509</w:t>
            </w:r>
          </w:p>
        </w:tc>
        <w:tc>
          <w:tcPr>
            <w:tcW w:type="dxa" w:w="1234"/>
          </w:tcPr>
          <w:p>
            <w:r>
              <w:rPr>
                <w:rFonts w:ascii="Calibri" w:hAnsi="Calibri"/>
                <w:sz w:val="22"/>
              </w:rPr>
              <w:t>−4.6%</w:t>
            </w:r>
          </w:p>
        </w:tc>
        <w:tc>
          <w:tcPr>
            <w:tcW w:type="dxa" w:w="1234"/>
          </w:tcPr>
          <w:p>
            <w:r>
              <w:rPr>
                <w:rFonts w:ascii="Calibri" w:hAnsi="Calibri"/>
                <w:sz w:val="22"/>
              </w:rPr>
              <w:t>No explicit FY EPS guidance</w:t>
            </w:r>
          </w:p>
        </w:tc>
        <w:tc>
          <w:tcPr>
            <w:tcW w:type="dxa" w:w="1234"/>
          </w:tcPr>
          <w:p>
            <w:r>
              <w:rPr>
                <w:rFonts w:ascii="Calibri" w:hAnsi="Calibri"/>
                <w:sz w:val="22"/>
              </w:rPr>
              <w:t>Unchanged</w:t>
            </w:r>
          </w:p>
        </w:tc>
        <w:tc>
          <w:tcPr>
            <w:tcW w:type="dxa" w:w="1234"/>
          </w:tcPr>
          <w:p>
            <w:r>
              <w:rPr>
                <w:rFonts w:ascii="Calibri" w:hAnsi="Calibri"/>
                <w:sz w:val="22"/>
              </w:rPr>
              <w:t>N/A</w:t>
            </w:r>
          </w:p>
        </w:tc>
      </w:tr>
      <w:tr>
        <w:tc>
          <w:tcPr>
            <w:tcW w:type="dxa" w:w="1234"/>
          </w:tcPr>
          <w:p>
            <w:r>
              <w:rPr>
                <w:rFonts w:ascii="Calibri" w:hAnsi="Calibri"/>
                <w:sz w:val="22"/>
              </w:rPr>
              <w:t>Gas Equiv. Production — Q2 2026 (Mmcfe/d)</w:t>
            </w:r>
          </w:p>
        </w:tc>
        <w:tc>
          <w:tcPr>
            <w:tcW w:type="dxa" w:w="1234"/>
          </w:tcPr>
          <w:p>
            <w:r>
              <w:rPr>
                <w:rFonts w:ascii="Calibri" w:hAnsi="Calibri"/>
                <w:sz w:val="22"/>
              </w:rPr>
              <w:t>7,464</w:t>
            </w:r>
          </w:p>
        </w:tc>
        <w:tc>
          <w:tcPr>
            <w:tcW w:type="dxa" w:w="1234"/>
          </w:tcPr>
          <w:p>
            <w:r>
              <w:rPr>
                <w:rFonts w:ascii="Calibri" w:hAnsi="Calibri"/>
                <w:sz w:val="22"/>
              </w:rPr>
              <w:t>7,464</w:t>
            </w:r>
          </w:p>
        </w:tc>
        <w:tc>
          <w:tcPr>
            <w:tcW w:type="dxa" w:w="1234"/>
          </w:tcPr>
          <w:p>
            <w:r>
              <w:rPr>
                <w:rFonts w:ascii="Calibri" w:hAnsi="Calibri"/>
                <w:sz w:val="22"/>
              </w:rPr>
              <w:t>0.0%</w:t>
            </w:r>
          </w:p>
        </w:tc>
        <w:tc>
          <w:tcPr>
            <w:tcW w:type="dxa" w:w="1234"/>
          </w:tcPr>
          <w:p>
            <w:r>
              <w:rPr>
                <w:rFonts w:ascii="Calibri" w:hAnsi="Calibri"/>
                <w:sz w:val="22"/>
              </w:rPr>
              <w:t>7,500 Mmcfe/d (FY avg.)</w:t>
            </w:r>
          </w:p>
        </w:tc>
        <w:tc>
          <w:tcPr>
            <w:tcW w:type="dxa" w:w="1234"/>
          </w:tcPr>
          <w:p>
            <w:r>
              <w:rPr>
                <w:rFonts w:ascii="Calibri" w:hAnsi="Calibri"/>
                <w:sz w:val="22"/>
              </w:rPr>
              <w:t>Unchanged</w:t>
            </w:r>
          </w:p>
        </w:tc>
        <w:tc>
          <w:tcPr>
            <w:tcW w:type="dxa" w:w="1234"/>
          </w:tcPr>
          <w:p>
            <w:r>
              <w:rPr>
                <w:rFonts w:ascii="Calibri" w:hAnsi="Calibri"/>
                <w:sz w:val="22"/>
              </w:rPr>
              <w:t>−0.5% below FY guidance midpoint</w:t>
            </w:r>
          </w:p>
        </w:tc>
      </w:tr>
      <w:tr>
        <w:tc>
          <w:tcPr>
            <w:tcW w:type="dxa" w:w="1234"/>
          </w:tcPr>
          <w:p>
            <w:r>
              <w:rPr>
                <w:rFonts w:ascii="Calibri" w:hAnsi="Calibri"/>
                <w:sz w:val="22"/>
              </w:rPr>
              <w:t>Gas Equiv. Production — FY 2026 (Mmcfe/d)</w:t>
            </w:r>
          </w:p>
        </w:tc>
        <w:tc>
          <w:tcPr>
            <w:tcW w:type="dxa" w:w="1234"/>
          </w:tcPr>
          <w:p>
            <w:r>
              <w:rPr>
                <w:rFonts w:ascii="Calibri" w:hAnsi="Calibri"/>
                <w:sz w:val="22"/>
              </w:rPr>
              <w:t>7,508</w:t>
            </w:r>
          </w:p>
        </w:tc>
        <w:tc>
          <w:tcPr>
            <w:tcW w:type="dxa" w:w="1234"/>
          </w:tcPr>
          <w:p>
            <w:r>
              <w:rPr>
                <w:rFonts w:ascii="Calibri" w:hAnsi="Calibri"/>
                <w:sz w:val="22"/>
              </w:rPr>
              <w:t>7,508</w:t>
            </w:r>
          </w:p>
        </w:tc>
        <w:tc>
          <w:tcPr>
            <w:tcW w:type="dxa" w:w="1234"/>
          </w:tcPr>
          <w:p>
            <w:r>
              <w:rPr>
                <w:rFonts w:ascii="Calibri" w:hAnsi="Calibri"/>
                <w:sz w:val="22"/>
              </w:rPr>
              <w:t>0.0%</w:t>
            </w:r>
          </w:p>
        </w:tc>
        <w:tc>
          <w:tcPr>
            <w:tcW w:type="dxa" w:w="1234"/>
          </w:tcPr>
          <w:p>
            <w:r>
              <w:rPr>
                <w:rFonts w:ascii="Calibri" w:hAnsi="Calibri"/>
                <w:sz w:val="22"/>
              </w:rPr>
              <w:t>7,500 Mmcfe/d</w:t>
            </w:r>
          </w:p>
        </w:tc>
        <w:tc>
          <w:tcPr>
            <w:tcW w:type="dxa" w:w="1234"/>
          </w:tcPr>
          <w:p>
            <w:r>
              <w:rPr>
                <w:rFonts w:ascii="Calibri" w:hAnsi="Calibri"/>
                <w:sz w:val="22"/>
              </w:rPr>
              <w:t>Unchanged</w:t>
            </w:r>
          </w:p>
        </w:tc>
        <w:tc>
          <w:tcPr>
            <w:tcW w:type="dxa" w:w="1234"/>
          </w:tcPr>
          <w:p>
            <w:r>
              <w:rPr>
                <w:rFonts w:ascii="Calibri" w:hAnsi="Calibri"/>
                <w:sz w:val="22"/>
              </w:rPr>
              <w:t>+0.1% above guidance midpoint</w:t>
            </w:r>
          </w:p>
        </w:tc>
      </w:tr>
      <w:tr>
        <w:tc>
          <w:tcPr>
            <w:tcW w:type="dxa" w:w="1234"/>
          </w:tcPr>
          <w:p>
            <w:r>
              <w:rPr>
                <w:rFonts w:ascii="Calibri" w:hAnsi="Calibri"/>
                <w:sz w:val="22"/>
              </w:rPr>
              <w:t>Total Revenue — Q2 2026 ($B)</w:t>
            </w:r>
          </w:p>
        </w:tc>
        <w:tc>
          <w:tcPr>
            <w:tcW w:type="dxa" w:w="1234"/>
          </w:tcPr>
          <w:p>
            <w:r>
              <w:rPr>
                <w:rFonts w:ascii="Calibri" w:hAnsi="Calibri"/>
                <w:sz w:val="22"/>
              </w:rPr>
              <w:t>$2.100B</w:t>
            </w:r>
          </w:p>
        </w:tc>
        <w:tc>
          <w:tcPr>
            <w:tcW w:type="dxa" w:w="1234"/>
          </w:tcPr>
          <w:p>
            <w:r>
              <w:rPr>
                <w:rFonts w:ascii="Calibri" w:hAnsi="Calibri"/>
                <w:sz w:val="22"/>
              </w:rPr>
              <w:t>$2.109B</w:t>
            </w:r>
          </w:p>
        </w:tc>
        <w:tc>
          <w:tcPr>
            <w:tcW w:type="dxa" w:w="1234"/>
          </w:tcPr>
          <w:p>
            <w:r>
              <w:rPr>
                <w:rFonts w:ascii="Calibri" w:hAnsi="Calibri"/>
                <w:sz w:val="22"/>
              </w:rPr>
              <w:t>+0.4%</w:t>
            </w:r>
          </w:p>
        </w:tc>
        <w:tc>
          <w:tcPr>
            <w:tcW w:type="dxa" w:w="1234"/>
          </w:tcPr>
          <w:p>
            <w:r>
              <w:rPr>
                <w:rFonts w:ascii="Calibri" w:hAnsi="Calibri"/>
                <w:sz w:val="22"/>
              </w:rPr>
              <w:t>No explicit revenue guidance</w:t>
            </w:r>
          </w:p>
        </w:tc>
        <w:tc>
          <w:tcPr>
            <w:tcW w:type="dxa" w:w="1234"/>
          </w:tcPr>
          <w:p>
            <w:r>
              <w:rPr>
                <w:rFonts w:ascii="Calibri" w:hAnsi="Calibri"/>
                <w:sz w:val="22"/>
              </w:rPr>
              <w:t>Unchanged</w:t>
            </w:r>
          </w:p>
        </w:tc>
        <w:tc>
          <w:tcPr>
            <w:tcW w:type="dxa" w:w="1234"/>
          </w:tcPr>
          <w:p>
            <w:r>
              <w:rPr>
                <w:rFonts w:ascii="Calibri" w:hAnsi="Calibri"/>
                <w:sz w:val="22"/>
              </w:rPr>
              <w:t>N/A</w:t>
            </w:r>
          </w:p>
        </w:tc>
      </w:tr>
      <w:tr>
        <w:tc>
          <w:tcPr>
            <w:tcW w:type="dxa" w:w="1234"/>
          </w:tcPr>
          <w:p>
            <w:r>
              <w:rPr>
                <w:rFonts w:ascii="Calibri" w:hAnsi="Calibri"/>
                <w:sz w:val="22"/>
              </w:rPr>
              <w:t>Total CapEx — FY 2026 ($B)</w:t>
            </w:r>
          </w:p>
        </w:tc>
        <w:tc>
          <w:tcPr>
            <w:tcW w:type="dxa" w:w="1234"/>
          </w:tcPr>
          <w:p>
            <w:r>
              <w:rPr>
                <w:rFonts w:ascii="Calibri" w:hAnsi="Calibri"/>
                <w:sz w:val="22"/>
              </w:rPr>
              <w:t>$2.849B</w:t>
            </w:r>
          </w:p>
        </w:tc>
        <w:tc>
          <w:tcPr>
            <w:tcW w:type="dxa" w:w="1234"/>
          </w:tcPr>
          <w:p>
            <w:r>
              <w:rPr>
                <w:rFonts w:ascii="Calibri" w:hAnsi="Calibri"/>
                <w:sz w:val="22"/>
              </w:rPr>
              <w:t>$2.858B</w:t>
            </w:r>
          </w:p>
        </w:tc>
        <w:tc>
          <w:tcPr>
            <w:tcW w:type="dxa" w:w="1234"/>
          </w:tcPr>
          <w:p>
            <w:r>
              <w:rPr>
                <w:rFonts w:ascii="Calibri" w:hAnsi="Calibri"/>
                <w:sz w:val="22"/>
              </w:rPr>
              <w:t>+0.3%</w:t>
            </w:r>
          </w:p>
        </w:tc>
        <w:tc>
          <w:tcPr>
            <w:tcW w:type="dxa" w:w="1234"/>
          </w:tcPr>
          <w:p>
            <w:r>
              <w:rPr>
                <w:rFonts w:ascii="Calibri" w:hAnsi="Calibri"/>
                <w:sz w:val="22"/>
              </w:rPr>
              <w:t>$2.85B</w:t>
            </w:r>
          </w:p>
        </w:tc>
        <w:tc>
          <w:tcPr>
            <w:tcW w:type="dxa" w:w="1234"/>
          </w:tcPr>
          <w:p>
            <w:r>
              <w:rPr>
                <w:rFonts w:ascii="Calibri" w:hAnsi="Calibri"/>
                <w:sz w:val="22"/>
              </w:rPr>
              <w:t>Unchanged</w:t>
            </w:r>
          </w:p>
        </w:tc>
        <w:tc>
          <w:tcPr>
            <w:tcW w:type="dxa" w:w="1234"/>
          </w:tcPr>
          <w:p>
            <w:r>
              <w:rPr>
                <w:rFonts w:ascii="Calibri" w:hAnsi="Calibri"/>
                <w:sz w:val="22"/>
              </w:rPr>
              <w:t>+0.3% above guidance midpoint</w:t>
            </w:r>
          </w:p>
        </w:tc>
      </w:tr>
      <w:tr>
        <w:tc>
          <w:tcPr>
            <w:tcW w:type="dxa" w:w="1234"/>
          </w:tcPr>
          <w:p>
            <w:r>
              <w:rPr>
                <w:rFonts w:ascii="Calibri" w:hAnsi="Calibri"/>
                <w:sz w:val="22"/>
              </w:rPr>
              <w:t>Marketing Margin — Q2 2026 ($M)</w:t>
            </w:r>
          </w:p>
        </w:tc>
        <w:tc>
          <w:tcPr>
            <w:tcW w:type="dxa" w:w="1234"/>
          </w:tcPr>
          <w:p>
            <w:r>
              <w:rPr>
                <w:rFonts w:ascii="Calibri" w:hAnsi="Calibri"/>
                <w:sz w:val="22"/>
              </w:rPr>
              <w:t>$14.3M</w:t>
            </w:r>
          </w:p>
        </w:tc>
        <w:tc>
          <w:tcPr>
            <w:tcW w:type="dxa" w:w="1234"/>
          </w:tcPr>
          <w:p>
            <w:r>
              <w:rPr>
                <w:rFonts w:ascii="Calibri" w:hAnsi="Calibri"/>
                <w:sz w:val="22"/>
              </w:rPr>
              <w:t>$17.4M</w:t>
            </w:r>
          </w:p>
        </w:tc>
        <w:tc>
          <w:tcPr>
            <w:tcW w:type="dxa" w:w="1234"/>
          </w:tcPr>
          <w:p>
            <w:r>
              <w:rPr>
                <w:rFonts w:ascii="Calibri" w:hAnsi="Calibri"/>
                <w:sz w:val="22"/>
              </w:rPr>
              <w:t>+21.7%</w:t>
            </w:r>
          </w:p>
        </w:tc>
        <w:tc>
          <w:tcPr>
            <w:tcW w:type="dxa" w:w="1234"/>
          </w:tcPr>
          <w:p>
            <w:r>
              <w:rPr>
                <w:rFonts w:ascii="Calibri" w:hAnsi="Calibri"/>
                <w:sz w:val="22"/>
              </w:rPr>
              <w:t>~$500M/yr run-rate target</w:t>
            </w:r>
          </w:p>
        </w:tc>
        <w:tc>
          <w:tcPr>
            <w:tcW w:type="dxa" w:w="1234"/>
          </w:tcPr>
          <w:p>
            <w:r>
              <w:rPr>
                <w:rFonts w:ascii="Calibri" w:hAnsi="Calibri"/>
                <w:sz w:val="22"/>
              </w:rPr>
              <w:t>~$750M/yr run-rate (post-Twin Eagle)</w:t>
            </w:r>
          </w:p>
        </w:tc>
        <w:tc>
          <w:tcPr>
            <w:tcW w:type="dxa" w:w="1234"/>
          </w:tcPr>
          <w:p>
            <w:r>
              <w:rPr>
                <w:rFonts w:ascii="Calibri" w:hAnsi="Calibri"/>
                <w:sz w:val="22"/>
              </w:rPr>
              <w:t>Consensus far below mgmt’s long-term target; largest unmodeled upside</w:t>
            </w:r>
          </w:p>
        </w:tc>
      </w:tr>
    </w:tbl>
    <w:p>
      <w:r>
        <w:rPr>
          <w:rFonts w:ascii="Calibri" w:hAnsi="Calibri"/>
          <w:i/>
          <w:color w:val="525866"/>
          <w:sz w:val="22"/>
        </w:rPr>
        <w:t>Source: Visible Alpha consensus data. Post-Q1 baseline as of May 5, 2026 (5 trading days after April 28 earnings). Current consensus as of July 28, 2026.</w:t>
      </w:r>
    </w:p>
    <w:p>
      <w:r>
        <w:rPr>
          <w:rFonts w:ascii="Calibri" w:hAnsi="Calibri"/>
          <w:color w:val="525866"/>
          <w:sz w:val="22"/>
        </w:rPr>
        <w:t>The near-zero revision in Q2 production and EPS estimates since the Q1 print suggests the street is treating Q2 as a pass-through quarter, with attention focused on the marketing strategy ramp and the Twin Eagle deal. The FY 2026 EPS revision of −4.6% likely reflects lower spot gas prices in Q2 partially offset by hedging, not a fundamental deterioration in the thesis.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EXE has underperformed XOP by ~5 points and the S&amp;P 500 by ~10 points since Q1 earnings, driven by </w:t>
      </w:r>
      <w:r>
        <w:rPr>
          <w:rFonts w:ascii="Calibri" w:hAnsi="Calibri"/>
          <w:b/>
          <w:color w:val="E5484D"/>
          <w:sz w:val="22"/>
        </w:rPr>
        <w:t>multiple compression</w:t>
      </w:r>
      <w:r>
        <w:rPr>
          <w:rFonts w:ascii="Calibri" w:hAnsi="Calibri"/>
          <w:color w:val="525866"/>
          <w:sz w:val="22"/>
        </w:rPr>
        <w:t xml:space="preserve"> as spot gas prices softened through Q2 — not estimate cuts — leaving the stock at a more attractive entry point heading into the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EXE vs. XOP (Energy E&amp;P ETF) vs. S&amp;P 500 — Indexed to 100 at Q1 2026 Earnings (April 28, 2026). EXE: −6.7%, XOP: −1.5%, SPY: +3.8% through July 28, 2026. Source: Yahoo Finance.</w:t>
      </w:r>
    </w:p>
    <w:p>
      <w:r>
        <w:rPr>
          <w:rFonts w:ascii="Calibri" w:hAnsi="Calibri"/>
          <w:color w:val="525866"/>
          <w:sz w:val="22"/>
        </w:rPr>
        <w:t>Since Q1 2026 earnings on April 28, EXE has declined approximately 6.7% (from $96.96 to $90.51), underperforming XOP (−1.5%) and the S&amp;P 500 (+3.8%). The underperformance is concentrated in May–June, when spot Henry Hub prices softened and the stock de-rated from ~$102 to a trough near ~$87. A partial recovery in late July (EXE +7% from the June trough) coincided with EQT and RRC reporting strong Q2 results on July 22, providing a positive read-through. The stock remains well below its post-Q1 highs, suggesting the market has not priced in a beat and the valuation setup is not stretched heading into the print. The July 27 Twin Eagle announcement caused a modest pullback (−1.1% on the day), reflecting initial market uncertainty about the $1.25B acquisition price and leverage implications.</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July 27 Twin Eagle acquisition is the dominant development since Q1 earnings — it is transformational for EXE’s marketing strategy and will define the Q2 earnings call narrative, but also introduces near-term leverage and integration risk that the market is still digesting.</w:t>
      </w:r>
    </w:p>
    <w:p>
      <w:pPr>
        <w:pStyle w:val="ListBullet"/>
        <w:ind w:left="360" w:hanging="360"/>
      </w:pPr>
      <w:r>
        <w:rPr>
          <w:rFonts w:ascii="Calibri" w:hAnsi="Calibri"/>
          <w:b/>
          <w:color w:val="525866"/>
          <w:sz w:val="22"/>
        </w:rPr>
        <w:t>July 27, 2026 — EXE announces $1.25B acquisition of Twin Eagle Holdings N.A.</w:t>
      </w:r>
      <w:r>
        <w:rPr>
          <w:rFonts w:ascii="Calibri" w:hAnsi="Calibri"/>
          <w:color w:val="525866"/>
          <w:sz w:val="22"/>
        </w:rPr>
        <w:t xml:space="preserve"> (8-K / Press Release). Twin Eagle is a leading private natural gas marketing and optimization business marketing &gt;5 Bcf/d, managing ~44 Bcf of storage and ~2 Bcf/d of firm transport. Pro forma combined volume: ~14 Bcf/d marketed. Deal expected to close Q3 2026; funded via cash + revolver. Immediately accretive; &gt;$200M EBITDA contribution; $150M synergies by YE 2028. Marketing FCF target raised from $500M to $750M/year. </w:t>
      </w:r>
      <w:r>
        <w:rPr>
          <w:rFonts w:ascii="Calibri" w:hAnsi="Calibri"/>
          <w:i/>
          <w:color w:val="525866"/>
          <w:sz w:val="22"/>
        </w:rPr>
        <w:t xml:space="preserve">Implication: </w:t>
      </w:r>
      <w:r>
        <w:rPr>
          <w:rFonts w:ascii="Calibri" w:hAnsi="Calibri"/>
          <w:i/>
          <w:color w:val="525866"/>
          <w:sz w:val="22"/>
        </w:rPr>
        <w:t>Transformational for the commercial strategy; Q2 call will be dominated by deal Q&amp;A. Leverage impact and integration execution are key risks to monitor.</w:t>
      </w:r>
    </w:p>
    <w:p>
      <w:pPr>
        <w:pStyle w:val="ListBullet"/>
        <w:ind w:left="360" w:hanging="360"/>
      </w:pPr>
      <w:r>
        <w:rPr>
          <w:rFonts w:ascii="Calibri" w:hAnsi="Calibri"/>
          <w:b/>
          <w:color w:val="525866"/>
          <w:sz w:val="22"/>
        </w:rPr>
        <w:t>April 28, 2026 — Q1 2026 earnings: record $1.7B FCF, $1.3B debt reduction, $91M marketing upside.</w:t>
      </w:r>
      <w:r>
        <w:rPr>
          <w:rFonts w:ascii="Calibri" w:hAnsi="Calibri"/>
          <w:color w:val="525866"/>
          <w:sz w:val="22"/>
        </w:rPr>
        <w:t xml:space="preserve"> EXE beat on both EPS ($3.83 vs. $3.66 consensus) and revenue ($3.28B vs. $2.94B consensus). Delfin LNG SPA announced (1.15 MMtpa). Capital allocation pivot toward buybacks signaled. </w:t>
      </w:r>
      <w:r>
        <w:rPr>
          <w:rFonts w:ascii="Calibri" w:hAnsi="Calibri"/>
          <w:i/>
          <w:color w:val="525866"/>
          <w:sz w:val="22"/>
        </w:rPr>
        <w:t xml:space="preserve">Implication: </w:t>
      </w:r>
      <w:r>
        <w:rPr>
          <w:rFonts w:ascii="Calibri" w:hAnsi="Calibri"/>
          <w:i/>
          <w:color w:val="525866"/>
          <w:sz w:val="22"/>
        </w:rPr>
        <w:t>Set a high bar for marketing performance; Q2 marketing margin will be closely scrutinized.</w:t>
      </w:r>
    </w:p>
    <w:p>
      <w:pPr>
        <w:pStyle w:val="ListBullet"/>
        <w:ind w:left="360" w:hanging="360"/>
      </w:pPr>
      <w:r>
        <w:rPr>
          <w:rFonts w:ascii="Calibri" w:hAnsi="Calibri"/>
          <w:b/>
          <w:color w:val="525866"/>
          <w:sz w:val="22"/>
        </w:rPr>
        <w:t>April 28, 2026 — Permanent CFO Marcel Teunissen appointed</w:t>
      </w:r>
      <w:r>
        <w:rPr>
          <w:rFonts w:ascii="Calibri" w:hAnsi="Calibri"/>
          <w:color w:val="525866"/>
          <w:sz w:val="22"/>
        </w:rPr>
        <w:t xml:space="preserve"> (effective April 2026; deep Shell integrated gas/LNG background). </w:t>
      </w:r>
      <w:r>
        <w:rPr>
          <w:rFonts w:ascii="Calibri" w:hAnsi="Calibri"/>
          <w:i/>
          <w:color w:val="525866"/>
          <w:sz w:val="22"/>
        </w:rPr>
        <w:t xml:space="preserve">Implication: </w:t>
      </w:r>
      <w:r>
        <w:rPr>
          <w:rFonts w:ascii="Calibri" w:hAnsi="Calibri"/>
          <w:i/>
          <w:color w:val="525866"/>
          <w:sz w:val="22"/>
        </w:rPr>
        <w:t>Organizational stability; LNG expertise directly relevant to Delfin SPA and Twin Eagle integration.</w:t>
      </w:r>
    </w:p>
    <w:p>
      <w:pPr>
        <w:pStyle w:val="ListBullet"/>
        <w:ind w:left="360" w:hanging="360"/>
      </w:pPr>
      <w:r>
        <w:rPr>
          <w:rFonts w:ascii="Calibri" w:hAnsi="Calibri"/>
          <w:b/>
          <w:color w:val="525866"/>
          <w:sz w:val="22"/>
        </w:rPr>
        <w:t>June 26, 2026 — VP of Accounting &amp; Controller resigns; CFO Teunissen named Interim Principal Accounting Officer</w:t>
      </w:r>
      <w:r>
        <w:rPr>
          <w:rFonts w:ascii="Calibri" w:hAnsi="Calibri"/>
          <w:color w:val="525866"/>
          <w:sz w:val="22"/>
        </w:rPr>
        <w:t xml:space="preserve"> (8-K). </w:t>
      </w:r>
      <w:r>
        <w:rPr>
          <w:rFonts w:ascii="Calibri" w:hAnsi="Calibri"/>
          <w:i/>
          <w:color w:val="525866"/>
          <w:sz w:val="22"/>
        </w:rPr>
        <w:t xml:space="preserve">Implication: </w:t>
      </w:r>
      <w:r>
        <w:rPr>
          <w:rFonts w:ascii="Calibri" w:hAnsi="Calibri"/>
          <w:i/>
          <w:color w:val="525866"/>
          <w:sz w:val="22"/>
        </w:rPr>
        <w:t>Minor organizational disruption; CFO absorbing additional responsibilities temporarily.</w:t>
      </w:r>
    </w:p>
    <w:p>
      <w:pPr>
        <w:pStyle w:val="ListBullet"/>
        <w:ind w:left="360" w:hanging="360"/>
      </w:pPr>
      <w:r>
        <w:rPr>
          <w:rFonts w:ascii="Calibri" w:hAnsi="Calibri"/>
          <w:b/>
          <w:color w:val="525866"/>
          <w:sz w:val="22"/>
        </w:rPr>
        <w:t>July 15, 2026 — EXE confirms Q2 2026 earnings conference call date</w:t>
      </w:r>
      <w:r>
        <w:rPr>
          <w:rFonts w:ascii="Calibri" w:hAnsi="Calibri"/>
          <w:color w:val="525866"/>
          <w:sz w:val="22"/>
        </w:rPr>
        <w:t xml:space="preserve"> (press release). Confirms earnings are imminent. </w:t>
      </w:r>
      <w:r>
        <w:rPr>
          <w:rFonts w:ascii="Calibri" w:hAnsi="Calibri"/>
          <w:i/>
          <w:color w:val="525866"/>
          <w:sz w:val="22"/>
        </w:rPr>
        <w:t xml:space="preserve">Implication: </w:t>
      </w:r>
      <w:r>
        <w:rPr>
          <w:rFonts w:ascii="Calibri" w:hAnsi="Calibri"/>
          <w:i/>
          <w:color w:val="525866"/>
          <w:sz w:val="22"/>
        </w:rPr>
        <w:t>Earnings expected in late July / early August 2026.</w:t>
      </w:r>
    </w:p>
    <w:p>
      <w:pPr>
        <w:pStyle w:val="ListBullet"/>
        <w:ind w:left="360" w:hanging="360"/>
      </w:pPr>
      <w:r>
        <w:rPr>
          <w:rFonts w:ascii="Calibri" w:hAnsi="Calibri"/>
          <w:b/>
          <w:color w:val="525866"/>
          <w:sz w:val="22"/>
        </w:rPr>
        <w:t>July 22, 2026 — EQT and RRC report strong Q2 2026 results</w:t>
      </w:r>
      <w:r>
        <w:rPr>
          <w:rFonts w:ascii="Calibri" w:hAnsi="Calibri"/>
          <w:color w:val="525866"/>
          <w:sz w:val="22"/>
        </w:rPr>
        <w:t xml:space="preserve"> (peer read-through). EQT raised production guidance by ~90 Bcf and cut CapEx by $25M; RRC reported 2.3 Bcf/d production in-line with guidance. Both confirmed robust LNG demand (&gt;17 Bcf/d feed gas in Q2, +17% YoY) and constructive power demand. </w:t>
      </w:r>
      <w:r>
        <w:rPr>
          <w:rFonts w:ascii="Calibri" w:hAnsi="Calibri"/>
          <w:i/>
          <w:color w:val="525866"/>
          <w:sz w:val="22"/>
        </w:rPr>
        <w:t xml:space="preserve">Implication: </w:t>
      </w:r>
      <w:r>
        <w:rPr>
          <w:rFonts w:ascii="Calibri" w:hAnsi="Calibri"/>
          <w:i/>
          <w:color w:val="525866"/>
          <w:sz w:val="22"/>
        </w:rPr>
        <w:t>Positive read-through for EXE’s Appalachia and Haynesville production; LNG demand backdrop supportive.</w:t>
      </w:r>
    </w:p>
    <w:p>
      <w:pPr>
        <w:pStyle w:val="ListBullet"/>
        <w:ind w:left="360" w:hanging="360"/>
      </w:pPr>
      <w:r>
        <w:rPr>
          <w:rFonts w:ascii="Calibri" w:hAnsi="Calibri"/>
          <w:b/>
          <w:color w:val="525866"/>
          <w:sz w:val="22"/>
        </w:rPr>
        <w:t>Ongoing — CEO search in progress</w:t>
      </w:r>
      <w:r>
        <w:rPr>
          <w:rFonts w:ascii="Calibri" w:hAnsi="Calibri"/>
          <w:color w:val="525866"/>
          <w:sz w:val="22"/>
        </w:rPr>
        <w:t xml:space="preserve">; Interim CEO Wichterich confirmed search on track for ~6-month timeline from Q1 call (targeting ~October 2026). </w:t>
      </w:r>
      <w:r>
        <w:rPr>
          <w:rFonts w:ascii="Calibri" w:hAnsi="Calibri"/>
          <w:i/>
          <w:color w:val="525866"/>
          <w:sz w:val="22"/>
        </w:rPr>
        <w:t xml:space="preserve">Implication: </w:t>
      </w:r>
      <w:r>
        <w:rPr>
          <w:rFonts w:ascii="Calibri" w:hAnsi="Calibri"/>
          <w:i/>
          <w:color w:val="525866"/>
          <w:sz w:val="22"/>
        </w:rPr>
        <w:t>Leadership uncertainty remains an overhang; resolution could be a positive catalyst.</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EQT and RRC both reported strong Q2 2026 results on July 22, confirming robust LNG demand, resilient power demand, and constructive Appalachian fundamentals — all directly relevant to EXE’s Q2 setup. AR’s Q1 2026 call (April 30) provided forward-looking commentary on Q2 and the broader 2026 gas market that remains highly relevant.</w:t>
      </w:r>
    </w:p>
    <w:p>
      <w:r>
        <w:rPr>
          <w:rFonts w:ascii="Calibri" w:hAnsi="Calibri"/>
          <w:b/>
          <w:color w:val="525866"/>
          <w:sz w:val="22"/>
        </w:rPr>
        <w:t xml:space="preserve">Note: </w:t>
      </w:r>
      <w:r>
        <w:rPr>
          <w:rFonts w:ascii="Calibri" w:hAnsi="Calibri"/>
          <w:i/>
          <w:color w:val="525866"/>
          <w:sz w:val="22"/>
        </w:rPr>
        <w:t>Only forward-looking commentary about Q2 2026 or the current operating environment is included below. Backward-looking Q1 2025 or prior-period results commentary from peers has been excluded.</w:t>
      </w:r>
    </w:p>
    <w:p>
      <w:pPr>
        <w:pStyle w:val="Heading3"/>
      </w:pPr>
      <w:r>
        <w:rPr>
          <w:rFonts w:ascii="Calibri" w:hAnsi="Calibri"/>
          <w:b/>
          <w:color w:val="3B4259"/>
          <w:sz w:val="24"/>
        </w:rPr>
        <w:t>EQT Corporation (EQT) — Q2 2026 Earnings Call (July 22, 2026)</w:t>
      </w:r>
    </w:p>
    <w:p>
      <w:r>
        <w:rPr>
          <w:rFonts w:ascii="Calibri" w:hAnsi="Calibri"/>
          <w:b/>
          <w:color w:val="525866"/>
          <w:sz w:val="22"/>
        </w:rPr>
        <w:t xml:space="preserve">Relevance to EXE: </w:t>
      </w:r>
      <w:r>
        <w:rPr>
          <w:rFonts w:ascii="Calibri" w:hAnsi="Calibri"/>
          <w:color w:val="525866"/>
          <w:sz w:val="22"/>
        </w:rPr>
        <w:t>EQT is EXE’s closest Appalachian peer and a direct read-through on basin production costs, LNG demand, and power market dynamics.</w:t>
      </w:r>
    </w:p>
    <w:p>
      <w:pPr>
        <w:pStyle w:val="ListBullet"/>
        <w:ind w:left="360" w:hanging="360"/>
      </w:pPr>
      <w:r>
        <w:rPr>
          <w:rFonts w:ascii="Calibri" w:hAnsi="Calibri"/>
          <w:b/>
          <w:color w:val="525866"/>
          <w:sz w:val="22"/>
        </w:rPr>
        <w:t>Production outperformance driven by midstream compression:</w:t>
      </w:r>
      <w:r>
        <w:rPr>
          <w:rFonts w:ascii="Calibri" w:hAnsi="Calibri"/>
          <w:color w:val="525866"/>
          <w:sz w:val="22"/>
        </w:rPr>
        <w:t xml:space="preserve"> EQT reported Q2 volumes well above the high end of guidance, with a substantial portion from base production improvements driven by midstream compression projects extending flat times on new wells and shallowing base declines. EQT is raising 2026 production guidance by ~90 Bcf at the midpoint while simultaneously lowering FY CapEx by $25M. </w:t>
      </w:r>
      <w:r>
        <w:rPr>
          <w:rFonts w:ascii="Calibri" w:hAnsi="Calibri"/>
          <w:i/>
          <w:color w:val="525866"/>
          <w:sz w:val="22"/>
        </w:rPr>
        <w:t xml:space="preserve">Read-through for EXE: </w:t>
      </w:r>
      <w:r>
        <w:rPr>
          <w:rFonts w:ascii="Calibri" w:hAnsi="Calibri"/>
          <w:i/>
          <w:color w:val="525866"/>
          <w:sz w:val="22"/>
        </w:rPr>
        <w:t>Positive — suggests Appalachian basin productivity is running ahead of expectations; EXE’s Marcellus production could similarly benefit from operational efficiency gains.</w:t>
      </w:r>
    </w:p>
    <w:p>
      <w:pPr>
        <w:pStyle w:val="ListBullet"/>
        <w:ind w:left="360" w:hanging="360"/>
      </w:pPr>
      <w:r>
        <w:rPr>
          <w:rFonts w:ascii="Calibri" w:hAnsi="Calibri"/>
          <w:b/>
          <w:color w:val="525866"/>
          <w:sz w:val="22"/>
        </w:rPr>
        <w:t>LNG demand: &gt;17 Bcf/d feed gas in Q2, +17% YoY:</w:t>
      </w:r>
      <w:r>
        <w:rPr>
          <w:rFonts w:ascii="Calibri" w:hAnsi="Calibri"/>
          <w:color w:val="525866"/>
          <w:sz w:val="22"/>
        </w:rPr>
        <w:t xml:space="preserve"> EQT confirmed LNG feed gas averaged over 17 Bcf/d in Q2 2026, 17% higher than Q2 2025. Golden Pass is ramping. EQT executed a 5-year LNG off-take agreement with a large Asian integrated energy company (~0.5 MMtpa) beginning 2028. </w:t>
      </w:r>
      <w:r>
        <w:rPr>
          <w:rFonts w:ascii="Calibri" w:hAnsi="Calibri"/>
          <w:i/>
          <w:color w:val="525866"/>
          <w:sz w:val="22"/>
        </w:rPr>
        <w:t xml:space="preserve">Read-through for EXE: </w:t>
      </w:r>
      <w:r>
        <w:rPr>
          <w:rFonts w:ascii="Calibri" w:hAnsi="Calibri"/>
          <w:i/>
          <w:color w:val="525866"/>
          <w:sz w:val="22"/>
        </w:rPr>
        <w:t>Directly positive — EXE’s Haynesville assets sit at the epicenter of LNG demand; strong LNG pull supports Haynesville realizations and validates EXE’s Delfin SPA strategy.</w:t>
      </w:r>
    </w:p>
    <w:p>
      <w:pPr>
        <w:pStyle w:val="ListBullet"/>
        <w:ind w:left="360" w:hanging="360"/>
      </w:pPr>
      <w:r>
        <w:rPr>
          <w:rFonts w:ascii="Calibri" w:hAnsi="Calibri"/>
          <w:b/>
          <w:color w:val="525866"/>
          <w:sz w:val="22"/>
        </w:rPr>
        <w:t>Power demand resilient; Appalachian demand pipeline growing:</w:t>
      </w:r>
      <w:r>
        <w:rPr>
          <w:rFonts w:ascii="Calibri" w:hAnsi="Calibri"/>
          <w:color w:val="525866"/>
          <w:sz w:val="22"/>
        </w:rPr>
        <w:t xml:space="preserve"> EQT signed a 10-year gas supply agreement with CPV for a new 2 GW power facility in West Virginia, with pricing linked to PJM power prices (not gas index). EQT identified over 45 Appalachian demand and pipeline projects totaling nearly 20 Bcf/d of potential demand. </w:t>
      </w:r>
      <w:r>
        <w:rPr>
          <w:rFonts w:ascii="Calibri" w:hAnsi="Calibri"/>
          <w:i/>
          <w:color w:val="525866"/>
          <w:sz w:val="22"/>
        </w:rPr>
        <w:t xml:space="preserve">Read-through for EXE: </w:t>
      </w:r>
      <w:r>
        <w:rPr>
          <w:rFonts w:ascii="Calibri" w:hAnsi="Calibri"/>
          <w:i/>
          <w:color w:val="525866"/>
          <w:sz w:val="22"/>
        </w:rPr>
        <w:t>Positive — validates EXE’s thesis on power and data center demand growth in Appalachia; EXE’s Marcellus position benefits from the same demand pull.</w:t>
      </w:r>
    </w:p>
    <w:p>
      <w:pPr>
        <w:pStyle w:val="ListBullet"/>
        <w:ind w:left="360" w:hanging="360"/>
      </w:pPr>
      <w:r>
        <w:rPr>
          <w:rFonts w:ascii="Calibri" w:hAnsi="Calibri"/>
          <w:b/>
          <w:color w:val="525866"/>
          <w:sz w:val="22"/>
        </w:rPr>
        <w:t>Near-term gas price softness acknowledged; structural bull case intact for 2028+:</w:t>
      </w:r>
      <w:r>
        <w:rPr>
          <w:rFonts w:ascii="Calibri" w:hAnsi="Calibri"/>
          <w:color w:val="525866"/>
          <w:sz w:val="22"/>
        </w:rPr>
        <w:t xml:space="preserve"> EQT acknowledged near-term risks (Permian growth, potential El Niño weather) but sees the market inflecting in late 2027/2028, driven by power and LNG demand. The Iran conflict has altered the LNG market outlook, with Europe storage &gt;10% below YoY and international spot prices north of $17/MMBtu. </w:t>
      </w:r>
      <w:r>
        <w:rPr>
          <w:rFonts w:ascii="Calibri" w:hAnsi="Calibri"/>
          <w:i/>
          <w:color w:val="525866"/>
          <w:sz w:val="22"/>
        </w:rPr>
        <w:t xml:space="preserve">Read-through for EXE: </w:t>
      </w:r>
      <w:r>
        <w:rPr>
          <w:rFonts w:ascii="Calibri" w:hAnsi="Calibri"/>
          <w:i/>
          <w:color w:val="525866"/>
          <w:sz w:val="22"/>
        </w:rPr>
        <w:t>Mixed near-term, positive long-term — EXE’s hedging program (“hedge the wedge”) provides downside protection in the near term while preserving upside exposure to the structural bull case.</w:t>
      </w:r>
    </w:p>
    <w:p>
      <w:pPr>
        <w:pStyle w:val="ListBullet"/>
        <w:ind w:left="360" w:hanging="360"/>
      </w:pPr>
      <w:r>
        <w:rPr>
          <w:rFonts w:ascii="Calibri" w:hAnsi="Calibri"/>
          <w:b/>
          <w:color w:val="525866"/>
          <w:sz w:val="22"/>
        </w:rPr>
        <w:t>MVP Southgate FERC authorization received; construction accelerated:</w:t>
      </w:r>
      <w:r>
        <w:rPr>
          <w:rFonts w:ascii="Calibri" w:hAnsi="Calibri"/>
          <w:color w:val="525866"/>
          <w:sz w:val="22"/>
        </w:rPr>
        <w:t xml:space="preserve"> EQT pulled forward $85M of MVP Southgate capital contributions from 2027 into 2026 to de-risk execution. The project connects low-cost Appalachian gas to one of the fastest-growing demand regions in the U.S. </w:t>
      </w:r>
      <w:r>
        <w:rPr>
          <w:rFonts w:ascii="Calibri" w:hAnsi="Calibri"/>
          <w:i/>
          <w:color w:val="525866"/>
          <w:sz w:val="22"/>
        </w:rPr>
        <w:t xml:space="preserve">Read-through for EXE: </w:t>
      </w:r>
      <w:r>
        <w:rPr>
          <w:rFonts w:ascii="Calibri" w:hAnsi="Calibri"/>
          <w:i/>
          <w:color w:val="525866"/>
          <w:sz w:val="22"/>
        </w:rPr>
        <w:t>Positive — additional takeaway capacity from Appalachia improves basin-wide pricing dynamics and reduces basis risk for EXE’s Marcellus production.</w:t>
      </w:r>
    </w:p>
    <w:p>
      <w:pPr>
        <w:pStyle w:val="ListBullet"/>
        <w:ind w:left="360" w:hanging="360"/>
      </w:pPr>
      <w:r>
        <w:rPr>
          <w:rFonts w:ascii="Calibri" w:hAnsi="Calibri"/>
          <w:b/>
          <w:color w:val="525866"/>
          <w:sz w:val="22"/>
        </w:rPr>
        <w:t>Blackline Midstream acquisition ($77M) — propane storage in New England:</w:t>
      </w:r>
      <w:r>
        <w:rPr>
          <w:rFonts w:ascii="Calibri" w:hAnsi="Calibri"/>
          <w:color w:val="525866"/>
          <w:sz w:val="22"/>
        </w:rPr>
        <w:t xml:space="preserve"> EQT acquired two propane storage/distribution terminals in New England (46M gallons capacity), projecting a 20% FCF yield. </w:t>
      </w:r>
      <w:r>
        <w:rPr>
          <w:rFonts w:ascii="Calibri" w:hAnsi="Calibri"/>
          <w:i/>
          <w:color w:val="525866"/>
          <w:sz w:val="22"/>
        </w:rPr>
        <w:t xml:space="preserve">Read-through for EXE: </w:t>
      </w:r>
      <w:r>
        <w:rPr>
          <w:rFonts w:ascii="Calibri" w:hAnsi="Calibri"/>
          <w:i/>
          <w:color w:val="525866"/>
          <w:sz w:val="22"/>
        </w:rPr>
        <w:t>Thematic read-through — validates EXE’s strategy of moving downstream into marketing and storage assets (directly analogous to the Twin Eagle acquisition announced July 27).</w:t>
      </w:r>
    </w:p>
    <w:p>
      <w:pPr>
        <w:pStyle w:val="Heading3"/>
      </w:pPr>
      <w:r>
        <w:rPr>
          <w:rFonts w:ascii="Calibri" w:hAnsi="Calibri"/>
          <w:b/>
          <w:color w:val="3B4259"/>
          <w:sz w:val="24"/>
        </w:rPr>
        <w:t>Range Resources (RRC) — Q2 2026 Earnings Call (July 22, 2026)</w:t>
      </w:r>
    </w:p>
    <w:p>
      <w:r>
        <w:rPr>
          <w:rFonts w:ascii="Calibri" w:hAnsi="Calibri"/>
          <w:b/>
          <w:color w:val="525866"/>
          <w:sz w:val="22"/>
        </w:rPr>
        <w:t xml:space="preserve">Relevance to EXE: </w:t>
      </w:r>
      <w:r>
        <w:rPr>
          <w:rFonts w:ascii="Calibri" w:hAnsi="Calibri"/>
          <w:color w:val="525866"/>
          <w:sz w:val="22"/>
        </w:rPr>
        <w:t>RRC is a pure-play Appalachian (Marcellus) producer; its commentary on basin production, NGL marketing, and LNG demand is a direct read-through for EXE’s Marcellus segment.</w:t>
      </w:r>
    </w:p>
    <w:p>
      <w:pPr>
        <w:pStyle w:val="ListBullet"/>
        <w:ind w:left="360" w:hanging="360"/>
      </w:pPr>
      <w:r>
        <w:rPr>
          <w:rFonts w:ascii="Calibri" w:hAnsi="Calibri"/>
          <w:b/>
          <w:color w:val="525866"/>
          <w:sz w:val="22"/>
        </w:rPr>
        <w:t>Q2 production of 2.3 Bcf/d in-line; ramping to 2.5 Bcf/d by year-end:</w:t>
      </w:r>
      <w:r>
        <w:rPr>
          <w:rFonts w:ascii="Calibri" w:hAnsi="Calibri"/>
          <w:color w:val="525866"/>
          <w:sz w:val="22"/>
        </w:rPr>
        <w:t xml:space="preserve"> RRC reported Q2 production of 2.3 Bcf equivalent/d, consistent with prior guidance. Production is expected to reach 2.4 Bcf/d in Q3 and 2.5 Bcf/d by year-end, underpinned by gas processing infrastructure in early commissioning. </w:t>
      </w:r>
      <w:r>
        <w:rPr>
          <w:rFonts w:ascii="Calibri" w:hAnsi="Calibri"/>
          <w:i/>
          <w:color w:val="525866"/>
          <w:sz w:val="22"/>
        </w:rPr>
        <w:t xml:space="preserve">Read-through for EXE: </w:t>
      </w:r>
      <w:r>
        <w:rPr>
          <w:rFonts w:ascii="Calibri" w:hAnsi="Calibri"/>
          <w:i/>
          <w:color w:val="525866"/>
          <w:sz w:val="22"/>
        </w:rPr>
        <w:t>Neutral to positive — confirms Appalachian basin production is tracking guidance; no negative surprises on basin-wide supply growth that would pressure EXE’s realizations.</w:t>
      </w:r>
    </w:p>
    <w:p>
      <w:pPr>
        <w:pStyle w:val="ListBullet"/>
        <w:ind w:left="360" w:hanging="360"/>
      </w:pPr>
      <w:r>
        <w:rPr>
          <w:rFonts w:ascii="Calibri" w:hAnsi="Calibri"/>
          <w:b/>
          <w:color w:val="525866"/>
          <w:sz w:val="22"/>
        </w:rPr>
        <w:t>LNG feed gas averaged &gt;17 Bcf/d in Q2, +17% YoY; LNG to reach 20 Bcf/d by end of 2027:</w:t>
      </w:r>
      <w:r>
        <w:rPr>
          <w:rFonts w:ascii="Calibri" w:hAnsi="Calibri"/>
          <w:color w:val="525866"/>
          <w:sz w:val="22"/>
        </w:rPr>
        <w:t xml:space="preserve"> RRC confirmed the same LNG demand data as EQT. U.S. waterborne ethane exports set a record high in June at ~750,000 bbl/d (+40% YoY). Propane/butane exports reached &gt;2.6 MMbbl/d (+30% YoY). </w:t>
      </w:r>
      <w:r>
        <w:rPr>
          <w:rFonts w:ascii="Calibri" w:hAnsi="Calibri"/>
          <w:i/>
          <w:color w:val="525866"/>
          <w:sz w:val="22"/>
        </w:rPr>
        <w:t xml:space="preserve">Read-through for EXE: </w:t>
      </w:r>
      <w:r>
        <w:rPr>
          <w:rFonts w:ascii="Calibri" w:hAnsi="Calibri"/>
          <w:i/>
          <w:color w:val="525866"/>
          <w:sz w:val="22"/>
        </w:rPr>
        <w:t>Directly positive for EXE’s Haynesville LNG-exposed production and validates the Delfin SPA and Twin Eagle marketing strategy.</w:t>
      </w:r>
    </w:p>
    <w:p>
      <w:pPr>
        <w:pStyle w:val="ListBullet"/>
        <w:ind w:left="360" w:hanging="360"/>
      </w:pPr>
      <w:r>
        <w:rPr>
          <w:rFonts w:ascii="Calibri" w:hAnsi="Calibri"/>
          <w:b/>
          <w:color w:val="525866"/>
          <w:sz w:val="22"/>
        </w:rPr>
        <w:t>NGL marketing premium of $3.49/bbl over Mont Belvieu in Q2; full-year NGL guidance raised to $2.50/bbl premium:</w:t>
      </w:r>
      <w:r>
        <w:rPr>
          <w:rFonts w:ascii="Calibri" w:hAnsi="Calibri"/>
          <w:color w:val="525866"/>
          <w:sz w:val="22"/>
        </w:rPr>
        <w:t xml:space="preserve"> RRC’s marketing team capitalized on strong international NGL prices. Full-year natural gas guidance also improved to $0.35–$0.40/Mcf vs. Henry Hub. </w:t>
      </w:r>
      <w:r>
        <w:rPr>
          <w:rFonts w:ascii="Calibri" w:hAnsi="Calibri"/>
          <w:i/>
          <w:color w:val="525866"/>
          <w:sz w:val="22"/>
        </w:rPr>
        <w:t xml:space="preserve">Read-through for EXE: </w:t>
      </w:r>
      <w:r>
        <w:rPr>
          <w:rFonts w:ascii="Calibri" w:hAnsi="Calibri"/>
          <w:i/>
          <w:color w:val="525866"/>
          <w:sz w:val="22"/>
        </w:rPr>
        <w:t>Positive — confirms that active marketing and international market access are generating real premium realizations; supports EXE’s marketing margin thesis.</w:t>
      </w:r>
    </w:p>
    <w:p>
      <w:pPr>
        <w:pStyle w:val="ListBullet"/>
        <w:ind w:left="360" w:hanging="360"/>
      </w:pPr>
      <w:r>
        <w:rPr>
          <w:rFonts w:ascii="Calibri" w:hAnsi="Calibri"/>
          <w:b/>
          <w:color w:val="525866"/>
          <w:sz w:val="22"/>
        </w:rPr>
        <w:t>Power demand resilient; thermal share at 71% YTD:</w:t>
      </w:r>
      <w:r>
        <w:rPr>
          <w:rFonts w:ascii="Calibri" w:hAnsi="Calibri"/>
          <w:color w:val="525866"/>
          <w:sz w:val="22"/>
        </w:rPr>
        <w:t xml:space="preserve"> RRC noted natural gas utilization up ~0.7 Bcf/d YoY, with thermal share reaching 71% YTD. Data center and power demand build-out in Appalachia continues to evolve. </w:t>
      </w:r>
      <w:r>
        <w:rPr>
          <w:rFonts w:ascii="Calibri" w:hAnsi="Calibri"/>
          <w:i/>
          <w:color w:val="525866"/>
          <w:sz w:val="22"/>
        </w:rPr>
        <w:t xml:space="preserve">Read-through for EXE: </w:t>
      </w:r>
      <w:r>
        <w:rPr>
          <w:rFonts w:ascii="Calibri" w:hAnsi="Calibri"/>
          <w:i/>
          <w:color w:val="525866"/>
          <w:sz w:val="22"/>
        </w:rPr>
        <w:t>Positive — consistent with EXE’s thesis on power demand growth supporting long-term gas prices.</w:t>
      </w:r>
    </w:p>
    <w:p>
      <w:pPr>
        <w:pStyle w:val="ListBullet"/>
        <w:ind w:left="360" w:hanging="360"/>
      </w:pPr>
      <w:r>
        <w:rPr>
          <w:rFonts w:ascii="Calibri" w:hAnsi="Calibri"/>
          <w:b/>
          <w:color w:val="525866"/>
          <w:sz w:val="22"/>
        </w:rPr>
        <w:t>Near-term gas price softness attributed to storage perception disconnect:</w:t>
      </w:r>
      <w:r>
        <w:rPr>
          <w:rFonts w:ascii="Calibri" w:hAnsi="Calibri"/>
          <w:color w:val="525866"/>
          <w:sz w:val="22"/>
        </w:rPr>
        <w:t xml:space="preserve"> RRC management noted a disconnect between long-term demand expectations and current market pricing, possibly related to perceived in-ground injection storage levels. RRC internally expects year-end storage of ~3.9 TCF (38 days of supply, 2 days less than last year). </w:t>
      </w:r>
      <w:r>
        <w:rPr>
          <w:rFonts w:ascii="Calibri" w:hAnsi="Calibri"/>
          <w:i/>
          <w:color w:val="525866"/>
          <w:sz w:val="22"/>
        </w:rPr>
        <w:t xml:space="preserve">Read-through for EXE: </w:t>
      </w:r>
      <w:r>
        <w:rPr>
          <w:rFonts w:ascii="Calibri" w:hAnsi="Calibri"/>
          <w:i/>
          <w:color w:val="525866"/>
          <w:sz w:val="22"/>
        </w:rPr>
        <w:t>Relevant context — if storage ends the year tighter than feared, Q3/Q4 gas prices could recover, benefiting EXE’s unhedged production.</w:t>
      </w:r>
    </w:p>
    <w:p>
      <w:pPr>
        <w:pStyle w:val="ListBullet"/>
        <w:ind w:left="360" w:hanging="360"/>
      </w:pPr>
      <w:r>
        <w:rPr>
          <w:rFonts w:ascii="Calibri" w:hAnsi="Calibri"/>
          <w:b/>
          <w:color w:val="525866"/>
          <w:sz w:val="22"/>
        </w:rPr>
        <w:t>Operational records set in Q2; 190,000 lateral feet drilled:</w:t>
      </w:r>
      <w:r>
        <w:rPr>
          <w:rFonts w:ascii="Calibri" w:hAnsi="Calibri"/>
          <w:color w:val="525866"/>
          <w:sz w:val="22"/>
        </w:rPr>
        <w:t xml:space="preserve"> RRC drilled ~190,000 lateral feet in Q2, set completion records (nearly 1,900 frac stages), and achieved 14 stages/day efficiency on its electric frac fleet. </w:t>
      </w:r>
      <w:r>
        <w:rPr>
          <w:rFonts w:ascii="Calibri" w:hAnsi="Calibri"/>
          <w:i/>
          <w:color w:val="525866"/>
          <w:sz w:val="22"/>
        </w:rPr>
        <w:t xml:space="preserve">Read-through for EXE: </w:t>
      </w:r>
      <w:r>
        <w:rPr>
          <w:rFonts w:ascii="Calibri" w:hAnsi="Calibri"/>
          <w:i/>
          <w:color w:val="525866"/>
          <w:sz w:val="22"/>
        </w:rPr>
        <w:t>Positive thematic read-through — confirms Appalachian drilling efficiency continues to improve, supporting EXE’s own cost reduction trajectory.</w:t>
      </w:r>
    </w:p>
    <w:p>
      <w:pPr>
        <w:pStyle w:val="Heading3"/>
      </w:pPr>
      <w:r>
        <w:rPr>
          <w:rFonts w:ascii="Calibri" w:hAnsi="Calibri"/>
          <w:b/>
          <w:color w:val="3B4259"/>
          <w:sz w:val="24"/>
        </w:rPr>
        <w:t>Antero Resources (AR) — Q1 2026 Earnings Call (April 30, 2026)</w:t>
      </w:r>
    </w:p>
    <w:p>
      <w:r>
        <w:rPr>
          <w:rFonts w:ascii="Calibri" w:hAnsi="Calibri"/>
          <w:b/>
          <w:color w:val="525866"/>
          <w:sz w:val="22"/>
        </w:rPr>
        <w:t xml:space="preserve">Relevance to EXE: </w:t>
      </w:r>
      <w:r>
        <w:rPr>
          <w:rFonts w:ascii="Calibri" w:hAnsi="Calibri"/>
          <w:color w:val="525866"/>
          <w:sz w:val="22"/>
        </w:rPr>
        <w:t>AR is a liquids-rich Appalachian producer with the highest LNG exposure among Appalachian peers; its forward-looking commentary on Q2 2026 cost guidance, LNG demand, and NGL pricing is relevant to EXE’s Marcellus segment.</w:t>
      </w:r>
    </w:p>
    <w:p>
      <w:pPr>
        <w:pStyle w:val="ListBullet"/>
        <w:ind w:left="360" w:hanging="360"/>
      </w:pPr>
      <w:r>
        <w:rPr>
          <w:rFonts w:ascii="Calibri" w:hAnsi="Calibri"/>
          <w:b/>
          <w:color w:val="525866"/>
          <w:sz w:val="22"/>
        </w:rPr>
        <w:t>Q2–Q4 2026 cash cost guidance cut by $0.26/Mcfe (−10% vs. 2025 average):</w:t>
      </w:r>
      <w:r>
        <w:rPr>
          <w:rFonts w:ascii="Calibri" w:hAnsi="Calibri"/>
          <w:color w:val="525866"/>
          <w:sz w:val="22"/>
        </w:rPr>
        <w:t xml:space="preserve"> AR reduced 2026 cash cost guidance by $0.10/Mcfe at the midpoint, with Q2–Q4 cash production expenses $0.26/Mcfe below the full-year 2025 average. Majority of reduction from HG acquisition synergies. </w:t>
      </w:r>
      <w:r>
        <w:rPr>
          <w:rFonts w:ascii="Calibri" w:hAnsi="Calibri"/>
          <w:i/>
          <w:color w:val="525866"/>
          <w:sz w:val="22"/>
        </w:rPr>
        <w:t xml:space="preserve">Read-through for EXE: </w:t>
      </w:r>
      <w:r>
        <w:rPr>
          <w:rFonts w:ascii="Calibri" w:hAnsi="Calibri"/>
          <w:i/>
          <w:color w:val="525866"/>
          <w:sz w:val="22"/>
        </w:rPr>
        <w:t>Positive thematic read-through — confirms Appalachian cost deflation trend; EXE’s own synergy realization and cost reduction trajectory is consistent with basin-wide dynamics.</w:t>
      </w:r>
    </w:p>
    <w:p>
      <w:pPr>
        <w:pStyle w:val="ListBullet"/>
        <w:ind w:left="360" w:hanging="360"/>
      </w:pPr>
      <w:r>
        <w:rPr>
          <w:rFonts w:ascii="Calibri" w:hAnsi="Calibri"/>
          <w:b/>
          <w:color w:val="525866"/>
          <w:sz w:val="22"/>
        </w:rPr>
        <w:t>Gas market expected to be undersupplied over next two years; LNG demand +7 Bcf/d by end of 2027:</w:t>
      </w:r>
      <w:r>
        <w:rPr>
          <w:rFonts w:ascii="Calibri" w:hAnsi="Calibri"/>
          <w:color w:val="525866"/>
          <w:sz w:val="22"/>
        </w:rPr>
        <w:t xml:space="preserve"> AR projected the gas market will be undersupplied due to LNG export growth (+7 Bcf/d by end of 2027), higher power demand, and growing Mexico exports. Golden Pass expected to ramp to 1.6 Bcf/d in 2026 and 2.4 Bcf/d in 2027. EU storage at second-lowest level on record exiting winter. </w:t>
      </w:r>
      <w:r>
        <w:rPr>
          <w:rFonts w:ascii="Calibri" w:hAnsi="Calibri"/>
          <w:i/>
          <w:color w:val="525866"/>
          <w:sz w:val="22"/>
        </w:rPr>
        <w:t xml:space="preserve">Read-through for EXE: </w:t>
      </w:r>
      <w:r>
        <w:rPr>
          <w:rFonts w:ascii="Calibri" w:hAnsi="Calibri"/>
          <w:i/>
          <w:color w:val="525866"/>
          <w:sz w:val="22"/>
        </w:rPr>
        <w:t>Directly positive for EXE’s long-term gas price outlook and validates the Delfin LNG SPA and Twin Eagle acquisition rationale.</w:t>
      </w:r>
    </w:p>
    <w:p>
      <w:pPr>
        <w:pStyle w:val="ListBullet"/>
        <w:ind w:left="360" w:hanging="360"/>
      </w:pPr>
      <w:r>
        <w:rPr>
          <w:rFonts w:ascii="Calibri" w:hAnsi="Calibri"/>
          <w:b/>
          <w:color w:val="525866"/>
          <w:sz w:val="22"/>
        </w:rPr>
        <w:t>Regional power demand in Appalachia: &gt;8 Bcf/d of publicly announced projects, potentially &gt;10 Bcf/d total:</w:t>
      </w:r>
      <w:r>
        <w:rPr>
          <w:rFonts w:ascii="Calibri" w:hAnsi="Calibri"/>
          <w:color w:val="525866"/>
          <w:sz w:val="22"/>
        </w:rPr>
        <w:t xml:space="preserve"> AR cited Microsoft/NVIDIA data center projects in West Virginia, Google projects, and West Virginia’s 50x50 plan (15 GW to 50 GW by 2050). AR has participated in RFPs for gas supply totaling &gt;5 Bcf/d of regional demand. </w:t>
      </w:r>
      <w:r>
        <w:rPr>
          <w:rFonts w:ascii="Calibri" w:hAnsi="Calibri"/>
          <w:i/>
          <w:color w:val="525866"/>
          <w:sz w:val="22"/>
        </w:rPr>
        <w:t xml:space="preserve">Read-through for EXE: </w:t>
      </w:r>
      <w:r>
        <w:rPr>
          <w:rFonts w:ascii="Calibri" w:hAnsi="Calibri"/>
          <w:i/>
          <w:color w:val="525866"/>
          <w:sz w:val="22"/>
        </w:rPr>
        <w:t>Positive — validates EXE’s Marcellus position as a key beneficiary of Appalachian power demand growth.</w:t>
      </w:r>
    </w:p>
    <w:p>
      <w:pPr>
        <w:pStyle w:val="ListBullet"/>
        <w:ind w:left="360" w:hanging="360"/>
      </w:pPr>
      <w:r>
        <w:rPr>
          <w:rFonts w:ascii="Calibri" w:hAnsi="Calibri"/>
          <w:b/>
          <w:color w:val="525866"/>
          <w:sz w:val="22"/>
        </w:rPr>
        <w:t>NGL pricing: C3+ realized pricing up ~$12/bbl; propane exports at record levels:</w:t>
      </w:r>
      <w:r>
        <w:rPr>
          <w:rFonts w:ascii="Calibri" w:hAnsi="Calibri"/>
          <w:color w:val="525866"/>
          <w:sz w:val="22"/>
        </w:rPr>
        <w:t xml:space="preserve"> AR’s forecasted C3+ realized pricing increased ~$12/bbl, translating to &gt;$550M of incremental FCF in 2026. Middle East supply disruptions (Operation Epic Fury, Feb 28) have driven U.S. LPG demand from China and India. </w:t>
      </w:r>
      <w:r>
        <w:rPr>
          <w:rFonts w:ascii="Calibri" w:hAnsi="Calibri"/>
          <w:i/>
          <w:color w:val="525866"/>
          <w:sz w:val="22"/>
        </w:rPr>
        <w:t xml:space="preserve">Read-through for EXE: </w:t>
      </w:r>
      <w:r>
        <w:rPr>
          <w:rFonts w:ascii="Calibri" w:hAnsi="Calibri"/>
          <w:i/>
          <w:color w:val="525866"/>
          <w:sz w:val="22"/>
        </w:rPr>
        <w:t>Positive for NGL-exposed Appalachian production; EXE’s Marcellus segment has NGL exposure that benefits from the same international demand dynamics.</w:t>
      </w:r>
    </w:p>
    <w:p>
      <w:pPr>
        <w:pStyle w:val="ListBullet"/>
        <w:ind w:left="360" w:hanging="360"/>
      </w:pPr>
      <w:r>
        <w:rPr>
          <w:rFonts w:ascii="Calibri" w:hAnsi="Calibri"/>
          <w:b/>
          <w:color w:val="525866"/>
          <w:sz w:val="22"/>
        </w:rPr>
        <w:t>Monarch project potentially larger and earlier than expected:</w:t>
      </w:r>
      <w:r>
        <w:rPr>
          <w:rFonts w:ascii="Calibri" w:hAnsi="Calibri"/>
          <w:color w:val="525866"/>
          <w:sz w:val="22"/>
        </w:rPr>
        <w:t xml:space="preserve"> AR noted the Monarch LNG project (previously 430 MMcf/d, 2030 start) may be larger and earlier for its first phase. Regional demand projects expected to take hold in 2027–2029. </w:t>
      </w:r>
      <w:r>
        <w:rPr>
          <w:rFonts w:ascii="Calibri" w:hAnsi="Calibri"/>
          <w:i/>
          <w:color w:val="525866"/>
          <w:sz w:val="22"/>
        </w:rPr>
        <w:t xml:space="preserve">Read-through for EXE: </w:t>
      </w:r>
      <w:r>
        <w:rPr>
          <w:rFonts w:ascii="Calibri" w:hAnsi="Calibri"/>
          <w:i/>
          <w:color w:val="525866"/>
          <w:sz w:val="22"/>
        </w:rPr>
        <w:t>Positive long-term read-through — additional LNG and power demand projects in Appalachia support EXE’s multi-year production growth plan.</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Insider activity since Q1 earnings is </w:t>
      </w:r>
      <w:r>
        <w:rPr>
          <w:rFonts w:ascii="Calibri" w:hAnsi="Calibri"/>
          <w:b/>
          <w:color w:val="30A46C"/>
          <w:sz w:val="22"/>
        </w:rPr>
        <w:t>notably bullish</w:t>
      </w:r>
      <w:r>
        <w:rPr>
          <w:rFonts w:ascii="Calibri" w:hAnsi="Calibri"/>
          <w:color w:val="525866"/>
          <w:sz w:val="22"/>
        </w:rPr>
        <w:t xml:space="preserve"> — both the Interim CEO and the newly appointed CFO made open-market purchases at prices between ~$91–$97, signaling conviction in the stock at current levels. The clustered director stock awards in June are routine compensation, not discretionary signals.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Wichterich, Michael</w:t>
            </w:r>
          </w:p>
        </w:tc>
        <w:tc>
          <w:tcPr>
            <w:tcW w:type="dxa" w:w="1440"/>
          </w:tcPr>
          <w:p>
            <w:r>
              <w:rPr>
                <w:rFonts w:ascii="Calibri" w:hAnsi="Calibri"/>
                <w:sz w:val="22"/>
              </w:rPr>
              <w:t>Interim President &amp; CEO, Director</w:t>
            </w:r>
          </w:p>
        </w:tc>
        <w:tc>
          <w:tcPr>
            <w:tcW w:type="dxa" w:w="1440"/>
          </w:tcPr>
          <w:p>
            <w:r>
              <w:rPr>
                <w:rFonts w:ascii="Calibri" w:hAnsi="Calibri"/>
                <w:b/>
                <w:color w:val="30A46C"/>
                <w:sz w:val="22"/>
              </w:rPr>
              <w:t>Open Market Buy</w:t>
            </w:r>
          </w:p>
        </w:tc>
        <w:tc>
          <w:tcPr>
            <w:tcW w:type="dxa" w:w="1440"/>
          </w:tcPr>
          <w:p>
            <w:r>
              <w:rPr>
                <w:rFonts w:ascii="Calibri" w:hAnsi="Calibri"/>
                <w:sz w:val="22"/>
              </w:rPr>
              <w:t>1,000</w:t>
            </w:r>
          </w:p>
        </w:tc>
        <w:tc>
          <w:tcPr>
            <w:tcW w:type="dxa" w:w="1440"/>
          </w:tcPr>
          <w:p>
            <w:r>
              <w:rPr>
                <w:rFonts w:ascii="Calibri" w:hAnsi="Calibri"/>
                <w:sz w:val="22"/>
              </w:rPr>
              <w:t>Jun 12, 2026</w:t>
            </w:r>
          </w:p>
        </w:tc>
        <w:tc>
          <w:tcPr>
            <w:tcW w:type="dxa" w:w="1440"/>
          </w:tcPr>
          <w:p>
            <w:r>
              <w:rPr>
                <w:rFonts w:ascii="Calibri" w:hAnsi="Calibri"/>
                <w:sz w:val="22"/>
              </w:rPr>
              <w:t>Discretionary open-market purchase; stock ~$88–$89 range. Second purchase in ~2 weeks. Bullish signal from interim CEO.</w:t>
            </w:r>
          </w:p>
        </w:tc>
      </w:tr>
      <w:tr>
        <w:tc>
          <w:tcPr>
            <w:tcW w:type="dxa" w:w="1440"/>
          </w:tcPr>
          <w:p>
            <w:r>
              <w:rPr>
                <w:rFonts w:ascii="Calibri" w:hAnsi="Calibri"/>
                <w:sz w:val="22"/>
              </w:rPr>
              <w:t>Teunissen, Marcel</w:t>
            </w:r>
          </w:p>
        </w:tc>
        <w:tc>
          <w:tcPr>
            <w:tcW w:type="dxa" w:w="1440"/>
          </w:tcPr>
          <w:p>
            <w:r>
              <w:rPr>
                <w:rFonts w:ascii="Calibri" w:hAnsi="Calibri"/>
                <w:sz w:val="22"/>
              </w:rPr>
              <w:t>EVP &amp; CFO</w:t>
            </w:r>
          </w:p>
        </w:tc>
        <w:tc>
          <w:tcPr>
            <w:tcW w:type="dxa" w:w="1440"/>
          </w:tcPr>
          <w:p>
            <w:r>
              <w:rPr>
                <w:rFonts w:ascii="Calibri" w:hAnsi="Calibri"/>
                <w:b/>
                <w:color w:val="30A46C"/>
                <w:sz w:val="22"/>
              </w:rPr>
              <w:t>Open Market Buy</w:t>
            </w:r>
          </w:p>
        </w:tc>
        <w:tc>
          <w:tcPr>
            <w:tcW w:type="dxa" w:w="1440"/>
          </w:tcPr>
          <w:p>
            <w:r>
              <w:rPr>
                <w:rFonts w:ascii="Calibri" w:hAnsi="Calibri"/>
                <w:sz w:val="22"/>
              </w:rPr>
              <w:t>2,000</w:t>
            </w:r>
          </w:p>
        </w:tc>
        <w:tc>
          <w:tcPr>
            <w:tcW w:type="dxa" w:w="1440"/>
          </w:tcPr>
          <w:p>
            <w:r>
              <w:rPr>
                <w:rFonts w:ascii="Calibri" w:hAnsi="Calibri"/>
                <w:sz w:val="22"/>
              </w:rPr>
              <w:t>Jun 4, 2026</w:t>
            </w:r>
          </w:p>
        </w:tc>
        <w:tc>
          <w:tcPr>
            <w:tcW w:type="dxa" w:w="1440"/>
          </w:tcPr>
          <w:p>
            <w:r>
              <w:rPr>
                <w:rFonts w:ascii="Calibri" w:hAnsi="Calibri"/>
                <w:sz w:val="22"/>
              </w:rPr>
              <w:t>Discretionary open-market purchase; stock ~$93 range. Second purchase by CFO (also bought 2,000 shares on May 7). Consistent buying pattern.</w:t>
            </w:r>
          </w:p>
        </w:tc>
      </w:tr>
      <w:tr>
        <w:tc>
          <w:tcPr>
            <w:tcW w:type="dxa" w:w="1440"/>
          </w:tcPr>
          <w:p>
            <w:r>
              <w:rPr>
                <w:rFonts w:ascii="Calibri" w:hAnsi="Calibri"/>
                <w:sz w:val="22"/>
              </w:rPr>
              <w:t>Wichterich, Michael</w:t>
            </w:r>
          </w:p>
        </w:tc>
        <w:tc>
          <w:tcPr>
            <w:tcW w:type="dxa" w:w="1440"/>
          </w:tcPr>
          <w:p>
            <w:r>
              <w:rPr>
                <w:rFonts w:ascii="Calibri" w:hAnsi="Calibri"/>
                <w:sz w:val="22"/>
              </w:rPr>
              <w:t>Interim President &amp; CEO, Director</w:t>
            </w:r>
          </w:p>
        </w:tc>
        <w:tc>
          <w:tcPr>
            <w:tcW w:type="dxa" w:w="1440"/>
          </w:tcPr>
          <w:p>
            <w:r>
              <w:rPr>
                <w:rFonts w:ascii="Calibri" w:hAnsi="Calibri"/>
                <w:b/>
                <w:color w:val="30A46C"/>
                <w:sz w:val="22"/>
              </w:rPr>
              <w:t>Open Market Buy</w:t>
            </w:r>
          </w:p>
        </w:tc>
        <w:tc>
          <w:tcPr>
            <w:tcW w:type="dxa" w:w="1440"/>
          </w:tcPr>
          <w:p>
            <w:r>
              <w:rPr>
                <w:rFonts w:ascii="Calibri" w:hAnsi="Calibri"/>
                <w:sz w:val="22"/>
              </w:rPr>
              <w:t>1,000</w:t>
            </w:r>
          </w:p>
        </w:tc>
        <w:tc>
          <w:tcPr>
            <w:tcW w:type="dxa" w:w="1440"/>
          </w:tcPr>
          <w:p>
            <w:r>
              <w:rPr>
                <w:rFonts w:ascii="Calibri" w:hAnsi="Calibri"/>
                <w:sz w:val="22"/>
              </w:rPr>
              <w:t>Jun 4, 2026</w:t>
            </w:r>
          </w:p>
        </w:tc>
        <w:tc>
          <w:tcPr>
            <w:tcW w:type="dxa" w:w="1440"/>
          </w:tcPr>
          <w:p>
            <w:r>
              <w:rPr>
                <w:rFonts w:ascii="Calibri" w:hAnsi="Calibri"/>
                <w:sz w:val="22"/>
              </w:rPr>
              <w:t>Discretionary open-market purchase; stock ~$93 range. Clustered with CFO purchase on same day.</w:t>
            </w:r>
          </w:p>
        </w:tc>
      </w:tr>
      <w:tr>
        <w:tc>
          <w:tcPr>
            <w:tcW w:type="dxa" w:w="1440"/>
          </w:tcPr>
          <w:p>
            <w:r>
              <w:rPr>
                <w:rFonts w:ascii="Calibri" w:hAnsi="Calibri"/>
                <w:sz w:val="22"/>
              </w:rPr>
              <w:t>Teunissen, Marcel</w:t>
            </w:r>
          </w:p>
        </w:tc>
        <w:tc>
          <w:tcPr>
            <w:tcW w:type="dxa" w:w="1440"/>
          </w:tcPr>
          <w:p>
            <w:r>
              <w:rPr>
                <w:rFonts w:ascii="Calibri" w:hAnsi="Calibri"/>
                <w:sz w:val="22"/>
              </w:rPr>
              <w:t>EVP &amp; CFO</w:t>
            </w:r>
          </w:p>
        </w:tc>
        <w:tc>
          <w:tcPr>
            <w:tcW w:type="dxa" w:w="1440"/>
          </w:tcPr>
          <w:p>
            <w:r>
              <w:rPr>
                <w:rFonts w:ascii="Calibri" w:hAnsi="Calibri"/>
                <w:b/>
                <w:color w:val="30A46C"/>
                <w:sz w:val="22"/>
              </w:rPr>
              <w:t>Open Market Buy</w:t>
            </w:r>
          </w:p>
        </w:tc>
        <w:tc>
          <w:tcPr>
            <w:tcW w:type="dxa" w:w="1440"/>
          </w:tcPr>
          <w:p>
            <w:r>
              <w:rPr>
                <w:rFonts w:ascii="Calibri" w:hAnsi="Calibri"/>
                <w:sz w:val="22"/>
              </w:rPr>
              <w:t>2,000</w:t>
            </w:r>
          </w:p>
        </w:tc>
        <w:tc>
          <w:tcPr>
            <w:tcW w:type="dxa" w:w="1440"/>
          </w:tcPr>
          <w:p>
            <w:r>
              <w:rPr>
                <w:rFonts w:ascii="Calibri" w:hAnsi="Calibri"/>
                <w:sz w:val="22"/>
              </w:rPr>
              <w:t>May 7, 2026</w:t>
            </w:r>
          </w:p>
        </w:tc>
        <w:tc>
          <w:tcPr>
            <w:tcW w:type="dxa" w:w="1440"/>
          </w:tcPr>
          <w:p>
            <w:r>
              <w:rPr>
                <w:rFonts w:ascii="Calibri" w:hAnsi="Calibri"/>
                <w:sz w:val="22"/>
              </w:rPr>
              <w:t>Discretionary open-market purchase; stock ~$97 range. First purchase by newly appointed CFO shortly after taking role.</w:t>
            </w:r>
          </w:p>
        </w:tc>
      </w:tr>
      <w:tr>
        <w:tc>
          <w:tcPr>
            <w:tcW w:type="dxa" w:w="1440"/>
          </w:tcPr>
          <w:p>
            <w:r>
              <w:rPr>
                <w:rFonts w:ascii="Calibri" w:hAnsi="Calibri"/>
                <w:sz w:val="22"/>
              </w:rPr>
              <w:t>Duncan, Timothy S.</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2,331</w:t>
            </w:r>
          </w:p>
        </w:tc>
        <w:tc>
          <w:tcPr>
            <w:tcW w:type="dxa" w:w="1440"/>
          </w:tcPr>
          <w:p>
            <w:r>
              <w:rPr>
                <w:rFonts w:ascii="Calibri" w:hAnsi="Calibri"/>
                <w:sz w:val="22"/>
              </w:rPr>
              <w:t>Jun 4, 2026</w:t>
            </w:r>
          </w:p>
        </w:tc>
        <w:tc>
          <w:tcPr>
            <w:tcW w:type="dxa" w:w="1440"/>
          </w:tcPr>
          <w:p>
            <w:r>
              <w:rPr>
                <w:rFonts w:ascii="Calibri" w:hAnsi="Calibri"/>
                <w:sz w:val="22"/>
              </w:rPr>
              <w:t>Routine director equity compensation award; not a discretionary purchase.</w:t>
            </w:r>
          </w:p>
        </w:tc>
      </w:tr>
      <w:tr>
        <w:tc>
          <w:tcPr>
            <w:tcW w:type="dxa" w:w="1440"/>
          </w:tcPr>
          <w:p>
            <w:r>
              <w:rPr>
                <w:rFonts w:ascii="Calibri" w:hAnsi="Calibri"/>
                <w:sz w:val="22"/>
              </w:rPr>
              <w:t>Duster, Benjamin</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2,331</w:t>
            </w:r>
          </w:p>
        </w:tc>
        <w:tc>
          <w:tcPr>
            <w:tcW w:type="dxa" w:w="1440"/>
          </w:tcPr>
          <w:p>
            <w:r>
              <w:rPr>
                <w:rFonts w:ascii="Calibri" w:hAnsi="Calibri"/>
                <w:sz w:val="22"/>
              </w:rPr>
              <w:t>Jun 4, 2026</w:t>
            </w:r>
          </w:p>
        </w:tc>
        <w:tc>
          <w:tcPr>
            <w:tcW w:type="dxa" w:w="1440"/>
          </w:tcPr>
          <w:p>
            <w:r>
              <w:rPr>
                <w:rFonts w:ascii="Calibri" w:hAnsi="Calibri"/>
                <w:sz w:val="22"/>
              </w:rPr>
              <w:t>Routine director equity compensation award; not a discretionary purchase.</w:t>
            </w:r>
          </w:p>
        </w:tc>
      </w:tr>
      <w:tr>
        <w:tc>
          <w:tcPr>
            <w:tcW w:type="dxa" w:w="1440"/>
          </w:tcPr>
          <w:p>
            <w:r>
              <w:rPr>
                <w:rFonts w:ascii="Calibri" w:hAnsi="Calibri"/>
                <w:sz w:val="22"/>
              </w:rPr>
              <w:t>Emerson, Sarah A.</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2,331</w:t>
            </w:r>
          </w:p>
        </w:tc>
        <w:tc>
          <w:tcPr>
            <w:tcW w:type="dxa" w:w="1440"/>
          </w:tcPr>
          <w:p>
            <w:r>
              <w:rPr>
                <w:rFonts w:ascii="Calibri" w:hAnsi="Calibri"/>
                <w:sz w:val="22"/>
              </w:rPr>
              <w:t>Jun 4, 2026</w:t>
            </w:r>
          </w:p>
        </w:tc>
        <w:tc>
          <w:tcPr>
            <w:tcW w:type="dxa" w:w="1440"/>
          </w:tcPr>
          <w:p>
            <w:r>
              <w:rPr>
                <w:rFonts w:ascii="Calibri" w:hAnsi="Calibri"/>
                <w:sz w:val="22"/>
              </w:rPr>
              <w:t>Routine director equity compensation award; not a discretionary purchase.</w:t>
            </w:r>
          </w:p>
        </w:tc>
      </w:tr>
      <w:tr>
        <w:tc>
          <w:tcPr>
            <w:tcW w:type="dxa" w:w="1440"/>
          </w:tcPr>
          <w:p>
            <w:r>
              <w:rPr>
                <w:rFonts w:ascii="Calibri" w:hAnsi="Calibri"/>
                <w:sz w:val="22"/>
              </w:rPr>
              <w:t>Gallagher, Matthew</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2,331</w:t>
            </w:r>
          </w:p>
        </w:tc>
        <w:tc>
          <w:tcPr>
            <w:tcW w:type="dxa" w:w="1440"/>
          </w:tcPr>
          <w:p>
            <w:r>
              <w:rPr>
                <w:rFonts w:ascii="Calibri" w:hAnsi="Calibri"/>
                <w:sz w:val="22"/>
              </w:rPr>
              <w:t>Jun 4, 2026</w:t>
            </w:r>
          </w:p>
        </w:tc>
        <w:tc>
          <w:tcPr>
            <w:tcW w:type="dxa" w:w="1440"/>
          </w:tcPr>
          <w:p>
            <w:r>
              <w:rPr>
                <w:rFonts w:ascii="Calibri" w:hAnsi="Calibri"/>
                <w:sz w:val="22"/>
              </w:rPr>
              <w:t>Routine director equity compensation award; not a discretionary purchase.</w:t>
            </w:r>
          </w:p>
        </w:tc>
      </w:tr>
      <w:tr>
        <w:tc>
          <w:tcPr>
            <w:tcW w:type="dxa" w:w="1440"/>
          </w:tcPr>
          <w:p>
            <w:r>
              <w:rPr>
                <w:rFonts w:ascii="Calibri" w:hAnsi="Calibri"/>
                <w:sz w:val="22"/>
              </w:rPr>
              <w:t>Johnson, S.P. IV</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2,331</w:t>
            </w:r>
          </w:p>
        </w:tc>
        <w:tc>
          <w:tcPr>
            <w:tcW w:type="dxa" w:w="1440"/>
          </w:tcPr>
          <w:p>
            <w:r>
              <w:rPr>
                <w:rFonts w:ascii="Calibri" w:hAnsi="Calibri"/>
                <w:sz w:val="22"/>
              </w:rPr>
              <w:t>Jun 4, 2026</w:t>
            </w:r>
          </w:p>
        </w:tc>
        <w:tc>
          <w:tcPr>
            <w:tcW w:type="dxa" w:w="1440"/>
          </w:tcPr>
          <w:p>
            <w:r>
              <w:rPr>
                <w:rFonts w:ascii="Calibri" w:hAnsi="Calibri"/>
                <w:sz w:val="22"/>
              </w:rPr>
              <w:t>Routine director equity compensation award; not a discretionary purchase.</w:t>
            </w:r>
          </w:p>
        </w:tc>
      </w:tr>
      <w:tr>
        <w:tc>
          <w:tcPr>
            <w:tcW w:type="dxa" w:w="1440"/>
          </w:tcPr>
          <w:p>
            <w:r>
              <w:rPr>
                <w:rFonts w:ascii="Calibri" w:hAnsi="Calibri"/>
                <w:sz w:val="22"/>
              </w:rPr>
              <w:t>Kehr, Catherine A.</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2,331</w:t>
            </w:r>
          </w:p>
        </w:tc>
        <w:tc>
          <w:tcPr>
            <w:tcW w:type="dxa" w:w="1440"/>
          </w:tcPr>
          <w:p>
            <w:r>
              <w:rPr>
                <w:rFonts w:ascii="Calibri" w:hAnsi="Calibri"/>
                <w:sz w:val="22"/>
              </w:rPr>
              <w:t>Jun 4, 2026</w:t>
            </w:r>
          </w:p>
        </w:tc>
        <w:tc>
          <w:tcPr>
            <w:tcW w:type="dxa" w:w="1440"/>
          </w:tcPr>
          <w:p>
            <w:r>
              <w:rPr>
                <w:rFonts w:ascii="Calibri" w:hAnsi="Calibri"/>
                <w:sz w:val="22"/>
              </w:rPr>
              <w:t>Routine director equity compensation award; not a discretionary purchase.</w:t>
            </w:r>
          </w:p>
        </w:tc>
      </w:tr>
      <w:tr>
        <w:tc>
          <w:tcPr>
            <w:tcW w:type="dxa" w:w="1440"/>
          </w:tcPr>
          <w:p>
            <w:r>
              <w:rPr>
                <w:rFonts w:ascii="Calibri" w:hAnsi="Calibri"/>
                <w:sz w:val="22"/>
              </w:rPr>
              <w:t>Konar, Shameek</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2,331</w:t>
            </w:r>
          </w:p>
        </w:tc>
        <w:tc>
          <w:tcPr>
            <w:tcW w:type="dxa" w:w="1440"/>
          </w:tcPr>
          <w:p>
            <w:r>
              <w:rPr>
                <w:rFonts w:ascii="Calibri" w:hAnsi="Calibri"/>
                <w:sz w:val="22"/>
              </w:rPr>
              <w:t>Jun 4, 2026</w:t>
            </w:r>
          </w:p>
        </w:tc>
        <w:tc>
          <w:tcPr>
            <w:tcW w:type="dxa" w:w="1440"/>
          </w:tcPr>
          <w:p>
            <w:r>
              <w:rPr>
                <w:rFonts w:ascii="Calibri" w:hAnsi="Calibri"/>
                <w:sz w:val="22"/>
              </w:rPr>
              <w:t>Routine director equity compensation award; not a discretionary purchase.</w:t>
            </w:r>
          </w:p>
        </w:tc>
      </w:tr>
      <w:tr>
        <w:tc>
          <w:tcPr>
            <w:tcW w:type="dxa" w:w="1440"/>
          </w:tcPr>
          <w:p>
            <w:r>
              <w:rPr>
                <w:rFonts w:ascii="Calibri" w:hAnsi="Calibri"/>
                <w:sz w:val="22"/>
              </w:rPr>
              <w:t>Steck, Brian</w:t>
            </w:r>
          </w:p>
        </w:tc>
        <w:tc>
          <w:tcPr>
            <w:tcW w:type="dxa" w:w="1440"/>
          </w:tcPr>
          <w:p>
            <w:r>
              <w:rPr>
                <w:rFonts w:ascii="Calibri" w:hAnsi="Calibri"/>
                <w:sz w:val="22"/>
              </w:rPr>
              <w:t>Director</w:t>
            </w:r>
          </w:p>
        </w:tc>
        <w:tc>
          <w:tcPr>
            <w:tcW w:type="dxa" w:w="1440"/>
          </w:tcPr>
          <w:p>
            <w:r>
              <w:rPr>
                <w:rFonts w:ascii="Calibri" w:hAnsi="Calibri"/>
                <w:sz w:val="22"/>
              </w:rPr>
              <w:t>Stock Award (Compensation)</w:t>
            </w:r>
          </w:p>
        </w:tc>
        <w:tc>
          <w:tcPr>
            <w:tcW w:type="dxa" w:w="1440"/>
          </w:tcPr>
          <w:p>
            <w:r>
              <w:rPr>
                <w:rFonts w:ascii="Calibri" w:hAnsi="Calibri"/>
                <w:sz w:val="22"/>
              </w:rPr>
              <w:t>2,746</w:t>
            </w:r>
          </w:p>
        </w:tc>
        <w:tc>
          <w:tcPr>
            <w:tcW w:type="dxa" w:w="1440"/>
          </w:tcPr>
          <w:p>
            <w:r>
              <w:rPr>
                <w:rFonts w:ascii="Calibri" w:hAnsi="Calibri"/>
                <w:sz w:val="22"/>
              </w:rPr>
              <w:t>Jun 4, 2026</w:t>
            </w:r>
          </w:p>
        </w:tc>
        <w:tc>
          <w:tcPr>
            <w:tcW w:type="dxa" w:w="1440"/>
          </w:tcPr>
          <w:p>
            <w:r>
              <w:rPr>
                <w:rFonts w:ascii="Calibri" w:hAnsi="Calibri"/>
                <w:sz w:val="22"/>
              </w:rPr>
              <w:t>Routine director equity compensation award; not a discretionary purchase.</w:t>
            </w:r>
          </w:p>
        </w:tc>
      </w:tr>
    </w:tbl>
    <w:p>
      <w:r>
        <w:rPr>
          <w:rFonts w:ascii="Calibri" w:hAnsi="Calibri"/>
          <w:i/>
          <w:color w:val="525866"/>
          <w:sz w:val="22"/>
        </w:rPr>
        <w:t>Source: SEC Form 4 filings. Open-market buy transactions (code P) only flagged as discretionary. Director stock awards (code A) are routine equity compensation.</w:t>
      </w:r>
    </w:p>
    <w:p>
      <w:r>
        <w:rPr>
          <w:rFonts w:ascii="Calibri" w:hAnsi="Calibri"/>
          <w:b/>
          <w:color w:val="525866"/>
          <w:sz w:val="22"/>
        </w:rPr>
        <w:t xml:space="preserve">The most notable signal is the </w:t>
      </w:r>
      <w:r>
        <w:rPr>
          <w:rFonts w:ascii="Calibri" w:hAnsi="Calibri"/>
          <w:b/>
          <w:color w:val="525866"/>
          <w:sz w:val="22"/>
        </w:rPr>
        <w:t>coordinated open-market buying by both the Interim CEO and the newly appointed CFO</w:t>
      </w:r>
      <w:r>
        <w:rPr>
          <w:rFonts w:ascii="Calibri" w:hAnsi="Calibri"/>
          <w:color w:val="525866"/>
          <w:sz w:val="22"/>
        </w:rPr>
        <w:t xml:space="preserve"> across three separate transactions between May 7 and June 12, 2026, at prices ranging from ~$88 to ~$97. This is a meaningful insider conviction signal, particularly given that the CFO (Teunissen) initiated purchases immediately after joining the company in April 2026. No insider sales were recorded in the period. The absence of any 10b5-1 plan sales is also notable given the stock’s underperformance since Q1 earnings.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