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Expand Energy (EXE) — Q2 2026 Earnings Preview</w:t>
      </w:r>
    </w:p>
    <w:p>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Earnings Date: </w:t>
      </w:r>
      <w:r>
        <w:rPr>
          <w:rFonts w:ascii="Calibri" w:hAnsi="Calibri"/>
          <w:color w:val="525866"/>
          <w:sz w:val="22"/>
        </w:rPr>
        <w:t xml:space="preserve">July 29, 2026 (9:00 AM ET)  </w:t>
      </w:r>
      <w:r>
        <w:rPr>
          <w:rFonts w:ascii="Calibri" w:hAnsi="Calibri"/>
          <w:b/>
          <w:color w:val="525866"/>
          <w:sz w:val="22"/>
        </w:rPr>
        <w:t xml:space="preserve">Reporting Period: </w:t>
      </w:r>
      <w:r>
        <w:rPr>
          <w:rFonts w:ascii="Calibri" w:hAnsi="Calibri"/>
          <w:color w:val="525866"/>
          <w:sz w:val="22"/>
        </w:rPr>
        <w:t xml:space="preserve">Q2 2026 (quarter ended June 30, 2026)  </w:t>
      </w:r>
      <w:r>
        <w:rPr>
          <w:rFonts w:ascii="Calibri" w:hAnsi="Calibri"/>
          <w:b/>
          <w:color w:val="525866"/>
          <w:sz w:val="22"/>
        </w:rPr>
        <w:t xml:space="preserve">Sector: </w:t>
      </w:r>
      <w:r>
        <w:rPr>
          <w:rFonts w:ascii="Calibri" w:hAnsi="Calibri"/>
          <w:color w:val="525866"/>
          <w:sz w:val="22"/>
        </w:rPr>
        <w:t>Oil &amp; Gas Exploration &amp; Production</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but not a slam dunk — consensus is a manageable bar on production and EPS, but the biggest swing factor is how much incremental value EXE captured through its marketing and volatility-monetization strategy in the quarter, which drove the outsized revenue beat in Q1.</w:t>
      </w:r>
    </w:p>
    <w:p>
      <w:r>
        <w:rPr>
          <w:rFonts w:ascii="Calibri" w:hAnsi="Calibri"/>
          <w:color w:val="525866"/>
          <w:sz w:val="22"/>
        </w:rPr>
        <w:t xml:space="preserve">Heading into Q2 2026 earnings, Expand Energy faces a consensus bar that appears achievable on production (roughly 7.46 Bcf/d gas equivalent vs. 7.44 Bcf/d actual in Q1) and operating EPS (~$1.14 vs. $3.83 in Q1, which benefited from large working capital inflows). Management guided Q2 as the </w:t>
      </w:r>
      <w:r>
        <w:rPr>
          <w:rFonts w:ascii="Calibri" w:hAnsi="Calibri"/>
          <w:b/>
          <w:color w:val="525866"/>
          <w:sz w:val="22"/>
        </w:rPr>
        <w:t>high point for CapEx</w:t>
      </w:r>
      <w:r>
        <w:rPr>
          <w:rFonts w:ascii="Calibri" w:hAnsi="Calibri"/>
          <w:color w:val="525866"/>
          <w:sz w:val="22"/>
        </w:rPr>
        <w:t xml:space="preserve"> for the year, with DNC activity slightly elevated and non-DNC spend higher due to leasehold acquisition timing — so the cost line will be watched closely. Tone from the Q1 call was decidedly confident: the company beat its full-year debt reduction target in a single quarter, pivoted capital allocation toward buybacks, and signed the Delfin LNG SPA, signaling accelerating commercial execution. Estimate revisions have drifted modestly lower since Q1 earnings (FY2026 operating EPS consensus slipped from ~$8.92 to ~$8.51), reflecting softer near-term Henry Hub pricing rather than any operational deterioration — a gap that represents cushion if marketing gains again surprise to the upside. The stock has underperformed over the past six months (down ~17%), with multiple compression (EV/EBITDA from ~5.1x to ~4.2x) doing most of the damage, leaving valuation undemanding and the stock not priced for a beat. The </w:t>
      </w:r>
      <w:r>
        <w:rPr>
          <w:rFonts w:ascii="Calibri" w:hAnsi="Calibri"/>
          <w:b/>
          <w:color w:val="525866"/>
          <w:sz w:val="22"/>
        </w:rPr>
        <w:t>wildcard</w:t>
      </w:r>
      <w:r>
        <w:rPr>
          <w:rFonts w:ascii="Calibri" w:hAnsi="Calibri"/>
          <w:color w:val="525866"/>
          <w:sz w:val="22"/>
        </w:rPr>
        <w:t xml:space="preserve"> is the July 27 announcement of the $1.25B Twin Eagle acquisition — a transformational marketing platform deal that closes in Q3 and will dominate the call narrative, potentially overshadowing the underlying Q2 operational print entirely.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production and EPS; the bigger swing factor is marketing margin capture, which is not directly modeled by most analysts but drove the Q1 revenue beat. Production guidance is unchanged at 7.5 Bcf/d for the full year.</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 Est.</w:t>
            </w:r>
          </w:p>
        </w:tc>
        <w:tc>
          <w:tcPr>
            <w:tcW w:type="dxa" w:w="1234"/>
          </w:tcPr>
          <w:p>
            <w:r>
              <w:rPr>
                <w:rFonts w:ascii="Calibri" w:hAnsi="Calibri"/>
                <w:b/>
                <w:sz w:val="22"/>
              </w:rPr>
              <w:t>YoY Change</w:t>
            </w:r>
          </w:p>
        </w:tc>
        <w:tc>
          <w:tcPr>
            <w:tcW w:type="dxa" w:w="1234"/>
          </w:tcPr>
          <w:p>
            <w:r>
              <w:rPr>
                <w:rFonts w:ascii="Calibri" w:hAnsi="Calibri"/>
                <w:b/>
                <w:sz w:val="22"/>
              </w:rPr>
              <w:t>Guidance</w:t>
            </w:r>
          </w:p>
        </w:tc>
        <w:tc>
          <w:tcPr>
            <w:tcW w:type="dxa" w:w="1234"/>
          </w:tcPr>
          <w:p>
            <w:r>
              <w:rPr>
                <w:rFonts w:ascii="Calibri" w:hAnsi="Calibri"/>
                <w:b/>
                <w:sz w:val="22"/>
              </w:rPr>
              <w:t>Cons. vs. Guidance</w:t>
            </w:r>
          </w:p>
        </w:tc>
      </w:tr>
      <w:tr>
        <w:tc>
          <w:tcPr>
            <w:tcW w:type="dxa" w:w="1234"/>
          </w:tcPr>
          <w:p>
            <w:r>
              <w:rPr>
                <w:rFonts w:ascii="Calibri" w:hAnsi="Calibri"/>
                <w:sz w:val="22"/>
              </w:rPr>
              <w:t>Operating EPS (Diluted)</w:t>
            </w:r>
          </w:p>
        </w:tc>
        <w:tc>
          <w:tcPr>
            <w:tcW w:type="dxa" w:w="1234"/>
          </w:tcPr>
          <w:p>
            <w:r>
              <w:rPr>
                <w:rFonts w:ascii="Calibri" w:hAnsi="Calibri"/>
                <w:sz w:val="22"/>
              </w:rPr>
              <w:t>$3.83</w:t>
            </w:r>
          </w:p>
        </w:tc>
        <w:tc>
          <w:tcPr>
            <w:tcW w:type="dxa" w:w="1234"/>
          </w:tcPr>
          <w:p>
            <w:r>
              <w:rPr>
                <w:rFonts w:ascii="Calibri" w:hAnsi="Calibri"/>
                <w:sz w:val="22"/>
              </w:rPr>
              <w:t>$1.10</w:t>
            </w:r>
          </w:p>
        </w:tc>
        <w:tc>
          <w:tcPr>
            <w:tcW w:type="dxa" w:w="1234"/>
          </w:tcPr>
          <w:p>
            <w:r>
              <w:rPr>
                <w:rFonts w:ascii="Calibri" w:hAnsi="Calibri"/>
                <w:sz w:val="22"/>
              </w:rPr>
              <w:t>$1.14</w:t>
            </w:r>
          </w:p>
        </w:tc>
        <w:tc>
          <w:tcPr>
            <w:tcW w:type="dxa" w:w="1234"/>
          </w:tcPr>
          <w:p>
            <w:r>
              <w:rPr>
                <w:rFonts w:ascii="Calibri" w:hAnsi="Calibri"/>
                <w:sz w:val="22"/>
              </w:rPr>
              <w:t>+$0.04 / +4%</w:t>
            </w:r>
          </w:p>
        </w:tc>
        <w:tc>
          <w:tcPr>
            <w:tcW w:type="dxa" w:w="1234"/>
          </w:tcPr>
          <w:p>
            <w:r>
              <w:rPr>
                <w:rFonts w:ascii="Calibri" w:hAnsi="Calibri"/>
                <w:sz w:val="22"/>
              </w:rPr>
              <w:t>No specific Q2 EPS guidance provided</w:t>
            </w:r>
          </w:p>
        </w:tc>
        <w:tc>
          <w:tcPr>
            <w:tcW w:type="dxa" w:w="1234"/>
          </w:tcPr>
          <w:p>
            <w:r>
              <w:rPr>
                <w:rFonts w:ascii="Calibri" w:hAnsi="Calibri"/>
                <w:sz w:val="22"/>
              </w:rPr>
              <w:t>N/A</w:t>
            </w:r>
          </w:p>
        </w:tc>
      </w:tr>
      <w:tr>
        <w:tc>
          <w:tcPr>
            <w:tcW w:type="dxa" w:w="1234"/>
          </w:tcPr>
          <w:p>
            <w:r>
              <w:rPr>
                <w:rFonts w:ascii="Calibri" w:hAnsi="Calibri"/>
                <w:sz w:val="22"/>
              </w:rPr>
              <w:t>Gas Equiv. Production (Mmcfe/d)</w:t>
            </w:r>
          </w:p>
        </w:tc>
        <w:tc>
          <w:tcPr>
            <w:tcW w:type="dxa" w:w="1234"/>
          </w:tcPr>
          <w:p>
            <w:r>
              <w:rPr>
                <w:rFonts w:ascii="Calibri" w:hAnsi="Calibri"/>
                <w:sz w:val="22"/>
              </w:rPr>
              <w:t>7,436</w:t>
            </w:r>
          </w:p>
        </w:tc>
        <w:tc>
          <w:tcPr>
            <w:tcW w:type="dxa" w:w="1234"/>
          </w:tcPr>
          <w:p>
            <w:r>
              <w:rPr>
                <w:rFonts w:ascii="Calibri" w:hAnsi="Calibri"/>
                <w:sz w:val="22"/>
              </w:rPr>
              <w:t>7,202</w:t>
            </w:r>
          </w:p>
        </w:tc>
        <w:tc>
          <w:tcPr>
            <w:tcW w:type="dxa" w:w="1234"/>
          </w:tcPr>
          <w:p>
            <w:r>
              <w:rPr>
                <w:rFonts w:ascii="Calibri" w:hAnsi="Calibri"/>
                <w:sz w:val="22"/>
              </w:rPr>
              <w:t>7,464</w:t>
            </w:r>
          </w:p>
        </w:tc>
        <w:tc>
          <w:tcPr>
            <w:tcW w:type="dxa" w:w="1234"/>
          </w:tcPr>
          <w:p>
            <w:r>
              <w:rPr>
                <w:rFonts w:ascii="Calibri" w:hAnsi="Calibri"/>
                <w:sz w:val="22"/>
              </w:rPr>
              <w:t>+262 / +3.6%</w:t>
            </w:r>
          </w:p>
        </w:tc>
        <w:tc>
          <w:tcPr>
            <w:tcW w:type="dxa" w:w="1234"/>
          </w:tcPr>
          <w:p>
            <w:r>
              <w:rPr>
                <w:rFonts w:ascii="Calibri" w:hAnsi="Calibri"/>
                <w:sz w:val="22"/>
              </w:rPr>
              <w:t>7,500 Mmcfe/d (FY2026 avg.)</w:t>
            </w:r>
          </w:p>
        </w:tc>
        <w:tc>
          <w:tcPr>
            <w:tcW w:type="dxa" w:w="1234"/>
          </w:tcPr>
          <w:p>
            <w:r>
              <w:rPr>
                <w:rFonts w:ascii="Calibri" w:hAnsi="Calibri"/>
                <w:sz w:val="22"/>
              </w:rPr>
              <w:t>~≈0.5% below FY guide midpoint</w:t>
            </w:r>
          </w:p>
        </w:tc>
      </w:tr>
      <w:tr>
        <w:tc>
          <w:tcPr>
            <w:tcW w:type="dxa" w:w="1234"/>
          </w:tcPr>
          <w:p>
            <w:r>
              <w:rPr>
                <w:rFonts w:ascii="Calibri" w:hAnsi="Calibri"/>
                <w:sz w:val="22"/>
              </w:rPr>
              <w:t>Natural Gas Production (Mmcf/d)</w:t>
            </w:r>
          </w:p>
        </w:tc>
        <w:tc>
          <w:tcPr>
            <w:tcW w:type="dxa" w:w="1234"/>
          </w:tcPr>
          <w:p>
            <w:r>
              <w:rPr>
                <w:rFonts w:ascii="Calibri" w:hAnsi="Calibri"/>
                <w:sz w:val="22"/>
              </w:rPr>
              <w:t>6,914</w:t>
            </w:r>
          </w:p>
        </w:tc>
        <w:tc>
          <w:tcPr>
            <w:tcW w:type="dxa" w:w="1234"/>
          </w:tcPr>
          <w:p>
            <w:r>
              <w:rPr>
                <w:rFonts w:ascii="Calibri" w:hAnsi="Calibri"/>
                <w:sz w:val="22"/>
              </w:rPr>
              <w:t>6,596</w:t>
            </w:r>
          </w:p>
        </w:tc>
        <w:tc>
          <w:tcPr>
            <w:tcW w:type="dxa" w:w="1234"/>
          </w:tcPr>
          <w:p>
            <w:r>
              <w:rPr>
                <w:rFonts w:ascii="Calibri" w:hAnsi="Calibri"/>
                <w:sz w:val="22"/>
              </w:rPr>
              <w:t>6,892</w:t>
            </w:r>
          </w:p>
        </w:tc>
        <w:tc>
          <w:tcPr>
            <w:tcW w:type="dxa" w:w="1234"/>
          </w:tcPr>
          <w:p>
            <w:r>
              <w:rPr>
                <w:rFonts w:ascii="Calibri" w:hAnsi="Calibri"/>
                <w:sz w:val="22"/>
              </w:rPr>
              <w:t>+296 / +4.5%</w:t>
            </w:r>
          </w:p>
        </w:tc>
        <w:tc>
          <w:tcPr>
            <w:tcW w:type="dxa" w:w="1234"/>
          </w:tcPr>
          <w:p>
            <w:r>
              <w:rPr>
                <w:rFonts w:ascii="Calibri" w:hAnsi="Calibri"/>
                <w:sz w:val="22"/>
              </w:rPr>
              <w:t>Unchanged FY2026 guide</w:t>
            </w:r>
          </w:p>
        </w:tc>
        <w:tc>
          <w:tcPr>
            <w:tcW w:type="dxa" w:w="1234"/>
          </w:tcPr>
          <w:p>
            <w:r>
              <w:rPr>
                <w:rFonts w:ascii="Calibri" w:hAnsi="Calibri"/>
                <w:sz w:val="22"/>
              </w:rPr>
              <w:t>In line</w:t>
            </w:r>
          </w:p>
        </w:tc>
      </w:tr>
      <w:tr>
        <w:tc>
          <w:tcPr>
            <w:tcW w:type="dxa" w:w="1234"/>
          </w:tcPr>
          <w:p>
            <w:r>
              <w:rPr>
                <w:rFonts w:ascii="Calibri" w:hAnsi="Calibri"/>
                <w:sz w:val="22"/>
              </w:rPr>
              <w:t>Total CapEx ($M)</w:t>
            </w:r>
          </w:p>
        </w:tc>
        <w:tc>
          <w:tcPr>
            <w:tcW w:type="dxa" w:w="1234"/>
          </w:tcPr>
          <w:p>
            <w:r>
              <w:rPr>
                <w:rFonts w:ascii="Calibri" w:hAnsi="Calibri"/>
                <w:sz w:val="22"/>
              </w:rPr>
              <w:t>$707</w:t>
            </w:r>
          </w:p>
        </w:tc>
        <w:tc>
          <w:tcPr>
            <w:tcW w:type="dxa" w:w="1234"/>
          </w:tcPr>
          <w:p>
            <w:r>
              <w:rPr>
                <w:rFonts w:ascii="Calibri" w:hAnsi="Calibri"/>
                <w:sz w:val="22"/>
              </w:rPr>
              <w:t>$657</w:t>
            </w:r>
          </w:p>
        </w:tc>
        <w:tc>
          <w:tcPr>
            <w:tcW w:type="dxa" w:w="1234"/>
          </w:tcPr>
          <w:p>
            <w:r>
              <w:rPr>
                <w:rFonts w:ascii="Calibri" w:hAnsi="Calibri"/>
                <w:sz w:val="22"/>
              </w:rPr>
              <w:t>$822</w:t>
            </w:r>
          </w:p>
        </w:tc>
        <w:tc>
          <w:tcPr>
            <w:tcW w:type="dxa" w:w="1234"/>
          </w:tcPr>
          <w:p>
            <w:r>
              <w:rPr>
                <w:rFonts w:ascii="Calibri" w:hAnsi="Calibri"/>
                <w:sz w:val="22"/>
              </w:rPr>
              <w:t>+$165 / +25%</w:t>
            </w:r>
          </w:p>
        </w:tc>
        <w:tc>
          <w:tcPr>
            <w:tcW w:type="dxa" w:w="1234"/>
          </w:tcPr>
          <w:p>
            <w:r>
              <w:rPr>
                <w:rFonts w:ascii="Calibri" w:hAnsi="Calibri"/>
                <w:sz w:val="22"/>
              </w:rPr>
              <w:t>Q2 guided as high point for year; FY $2.85B</w:t>
            </w:r>
          </w:p>
        </w:tc>
        <w:tc>
          <w:tcPr>
            <w:tcW w:type="dxa" w:w="1234"/>
          </w:tcPr>
          <w:p>
            <w:r>
              <w:rPr>
                <w:rFonts w:ascii="Calibri" w:hAnsi="Calibri"/>
                <w:sz w:val="22"/>
              </w:rPr>
              <w:t>Cons. ~$822M vs. Q2 high-point guidance; in line</w:t>
            </w:r>
          </w:p>
        </w:tc>
      </w:tr>
      <w:tr>
        <w:tc>
          <w:tcPr>
            <w:tcW w:type="dxa" w:w="1234"/>
          </w:tcPr>
          <w:p>
            <w:r>
              <w:rPr>
                <w:rFonts w:ascii="Calibri" w:hAnsi="Calibri"/>
                <w:sz w:val="22"/>
              </w:rPr>
              <w:t>EBITDA ($M)</w:t>
            </w:r>
          </w:p>
        </w:tc>
        <w:tc>
          <w:tcPr>
            <w:tcW w:type="dxa" w:w="1234"/>
          </w:tcPr>
          <w:p>
            <w:r>
              <w:rPr>
                <w:rFonts w:ascii="Calibri" w:hAnsi="Calibri"/>
                <w:sz w:val="22"/>
              </w:rPr>
              <w:t>$2,242</w:t>
            </w:r>
          </w:p>
        </w:tc>
        <w:tc>
          <w:tcPr>
            <w:tcW w:type="dxa" w:w="1234"/>
          </w:tcPr>
          <w:p>
            <w:r>
              <w:rPr>
                <w:rFonts w:ascii="Calibri" w:hAnsi="Calibri"/>
                <w:sz w:val="22"/>
              </w:rPr>
              <w:t>$2,038</w:t>
            </w:r>
          </w:p>
        </w:tc>
        <w:tc>
          <w:tcPr>
            <w:tcW w:type="dxa" w:w="1234"/>
          </w:tcPr>
          <w:p>
            <w:r>
              <w:rPr>
                <w:rFonts w:ascii="Calibri" w:hAnsi="Calibri"/>
                <w:sz w:val="22"/>
              </w:rPr>
              <w:t>$1,155</w:t>
            </w:r>
          </w:p>
        </w:tc>
        <w:tc>
          <w:tcPr>
            <w:tcW w:type="dxa" w:w="1234"/>
          </w:tcPr>
          <w:p>
            <w:r>
              <w:rPr>
                <w:rFonts w:ascii="Calibri" w:hAnsi="Calibri"/>
                <w:sz w:val="22"/>
              </w:rPr>
              <w:t>-$883 / -43%</w:t>
            </w:r>
          </w:p>
        </w:tc>
        <w:tc>
          <w:tcPr>
            <w:tcW w:type="dxa" w:w="1234"/>
          </w:tcPr>
          <w:p>
            <w:r>
              <w:rPr>
                <w:rFonts w:ascii="Calibri" w:hAnsi="Calibri"/>
                <w:sz w:val="22"/>
              </w:rPr>
              <w:t>No specific Q2 EBITDA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$1,232</w:t>
            </w:r>
          </w:p>
        </w:tc>
        <w:tc>
          <w:tcPr>
            <w:tcW w:type="dxa" w:w="1234"/>
          </w:tcPr>
          <w:p>
            <w:r>
              <w:rPr>
                <w:rFonts w:ascii="Calibri" w:hAnsi="Calibri"/>
                <w:sz w:val="22"/>
              </w:rPr>
              <w:t>$274</w:t>
            </w:r>
          </w:p>
        </w:tc>
        <w:tc>
          <w:tcPr>
            <w:tcW w:type="dxa" w:w="1234"/>
          </w:tcPr>
          <w:p>
            <w:r>
              <w:rPr>
                <w:rFonts w:ascii="Calibri" w:hAnsi="Calibri"/>
                <w:sz w:val="22"/>
              </w:rPr>
              <w:t>$308</w:t>
            </w:r>
          </w:p>
        </w:tc>
        <w:tc>
          <w:tcPr>
            <w:tcW w:type="dxa" w:w="1234"/>
          </w:tcPr>
          <w:p>
            <w:r>
              <w:rPr>
                <w:rFonts w:ascii="Calibri" w:hAnsi="Calibri"/>
                <w:sz w:val="22"/>
              </w:rPr>
              <w:t>+$34 / +12%</w:t>
            </w:r>
          </w:p>
        </w:tc>
        <w:tc>
          <w:tcPr>
            <w:tcW w:type="dxa" w:w="1234"/>
          </w:tcPr>
          <w:p>
            <w:r>
              <w:rPr>
                <w:rFonts w:ascii="Calibri" w:hAnsi="Calibri"/>
                <w:sz w:val="22"/>
              </w:rPr>
              <w:t>No specific Q2 FCF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Q1 2026 EBITDA of $2,242M and Q2 2025 EBITDA of $2,038M reflect large working capital and marketing gains; Q2 2026 consensus EBITDA of $1,155M reflects normalization. Note: Q1 2026 FCF of $1,232M included ~$1.7B total FCF inclusive of working capital inflows per management commentary; the VA figure reflects the analyst-published FCF metric.</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Operating EPS (Diluted) and Gas Equivalent Production (Mmcfe/d)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$3.83</w:t>
            </w:r>
          </w:p>
        </w:tc>
        <w:tc>
          <w:tcPr>
            <w:tcW w:type="dxa" w:w="1440"/>
          </w:tcPr>
          <w:p>
            <w:r>
              <w:rPr>
                <w:rFonts w:ascii="Calibri" w:hAnsi="Calibri"/>
                <w:sz w:val="22"/>
              </w:rPr>
              <w:t>$3.66</w:t>
            </w:r>
          </w:p>
        </w:tc>
        <w:tc>
          <w:tcPr>
            <w:tcW w:type="dxa" w:w="1440"/>
          </w:tcPr>
          <w:p>
            <w:r>
              <w:rPr>
                <w:rFonts w:ascii="Calibri" w:hAnsi="Calibri"/>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Gas Equiv. Prod.</w:t>
            </w:r>
          </w:p>
        </w:tc>
        <w:tc>
          <w:tcPr>
            <w:tcW w:type="dxa" w:w="1440"/>
          </w:tcPr>
          <w:p>
            <w:r>
              <w:rPr>
                <w:rFonts w:ascii="Calibri" w:hAnsi="Calibri"/>
                <w:sz w:val="22"/>
              </w:rPr>
              <w:t>7,436 Mmcfe/d</w:t>
            </w:r>
          </w:p>
        </w:tc>
        <w:tc>
          <w:tcPr>
            <w:tcW w:type="dxa" w:w="1440"/>
          </w:tcPr>
          <w:p>
            <w:r>
              <w:rPr>
                <w:rFonts w:ascii="Calibri" w:hAnsi="Calibri"/>
                <w:sz w:val="22"/>
              </w:rPr>
              <w:t>7,437 Mmcfe/d</w:t>
            </w:r>
          </w:p>
        </w:tc>
        <w:tc>
          <w:tcPr>
            <w:tcW w:type="dxa" w:w="1440"/>
          </w:tcPr>
          <w:p>
            <w:r>
              <w:rPr>
                <w:rFonts w:ascii="Calibri" w:hAnsi="Calibri"/>
                <w:sz w:val="22"/>
              </w:rPr>
              <w:t>~0%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$2.00</w:t>
            </w:r>
          </w:p>
        </w:tc>
        <w:tc>
          <w:tcPr>
            <w:tcW w:type="dxa" w:w="1440"/>
          </w:tcPr>
          <w:p>
            <w:r>
              <w:rPr>
                <w:rFonts w:ascii="Calibri" w:hAnsi="Calibri"/>
                <w:sz w:val="22"/>
              </w:rPr>
              <w:t>$1.87</w:t>
            </w:r>
          </w:p>
        </w:tc>
        <w:tc>
          <w:tcPr>
            <w:tcW w:type="dxa" w:w="1440"/>
          </w:tcPr>
          <w:p>
            <w:r>
              <w:rPr>
                <w:rFonts w:ascii="Calibri" w:hAnsi="Calibri"/>
                <w:sz w:val="22"/>
              </w:rPr>
              <w:t>+7.0%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Gas Equiv. Prod.</w:t>
            </w:r>
          </w:p>
        </w:tc>
        <w:tc>
          <w:tcPr>
            <w:tcW w:type="dxa" w:w="1440"/>
          </w:tcPr>
          <w:p>
            <w:r>
              <w:rPr>
                <w:rFonts w:ascii="Calibri" w:hAnsi="Calibri"/>
                <w:sz w:val="22"/>
              </w:rPr>
              <w:t>7,400 Mmcfe/d</w:t>
            </w:r>
          </w:p>
        </w:tc>
        <w:tc>
          <w:tcPr>
            <w:tcW w:type="dxa" w:w="1440"/>
          </w:tcPr>
          <w:p>
            <w:r>
              <w:rPr>
                <w:rFonts w:ascii="Calibri" w:hAnsi="Calibri"/>
                <w:sz w:val="22"/>
              </w:rPr>
              <w:t>7,318 Mmcfe/d</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$0.98</w:t>
            </w:r>
          </w:p>
        </w:tc>
        <w:tc>
          <w:tcPr>
            <w:tcW w:type="dxa" w:w="1440"/>
          </w:tcPr>
          <w:p>
            <w:r>
              <w:rPr>
                <w:rFonts w:ascii="Calibri" w:hAnsi="Calibri"/>
                <w:sz w:val="22"/>
              </w:rPr>
              <w:t>$0.83</w:t>
            </w:r>
          </w:p>
        </w:tc>
        <w:tc>
          <w:tcPr>
            <w:tcW w:type="dxa" w:w="1440"/>
          </w:tcPr>
          <w:p>
            <w:r>
              <w:rPr>
                <w:rFonts w:ascii="Calibri" w:hAnsi="Calibri"/>
                <w:sz w:val="22"/>
              </w:rPr>
              <w:t>+17.8%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Gas Equiv. Prod.</w:t>
            </w:r>
          </w:p>
        </w:tc>
        <w:tc>
          <w:tcPr>
            <w:tcW w:type="dxa" w:w="1440"/>
          </w:tcPr>
          <w:p>
            <w:r>
              <w:rPr>
                <w:rFonts w:ascii="Calibri" w:hAnsi="Calibri"/>
                <w:sz w:val="22"/>
              </w:rPr>
              <w:t>7,333 Mmcfe/d</w:t>
            </w:r>
          </w:p>
        </w:tc>
        <w:tc>
          <w:tcPr>
            <w:tcW w:type="dxa" w:w="1440"/>
          </w:tcPr>
          <w:p>
            <w:r>
              <w:rPr>
                <w:rFonts w:ascii="Calibri" w:hAnsi="Calibri"/>
                <w:sz w:val="22"/>
              </w:rPr>
              <w:t>7,232 Mmcfe/d</w:t>
            </w:r>
          </w:p>
        </w:tc>
        <w:tc>
          <w:tcPr>
            <w:tcW w:type="dxa" w:w="1440"/>
          </w:tcPr>
          <w:p>
            <w:r>
              <w:rPr>
                <w:rFonts w:ascii="Calibri" w:hAnsi="Calibri"/>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$1.10</w:t>
            </w:r>
          </w:p>
        </w:tc>
        <w:tc>
          <w:tcPr>
            <w:tcW w:type="dxa" w:w="1440"/>
          </w:tcPr>
          <w:p>
            <w:r>
              <w:rPr>
                <w:rFonts w:ascii="Calibri" w:hAnsi="Calibri"/>
                <w:sz w:val="22"/>
              </w:rPr>
              <w:t>$1.09</w:t>
            </w:r>
          </w:p>
        </w:tc>
        <w:tc>
          <w:tcPr>
            <w:tcW w:type="dxa" w:w="1440"/>
          </w:tcPr>
          <w:p>
            <w:r>
              <w:rPr>
                <w:rFonts w:ascii="Calibri" w:hAnsi="Calibri"/>
                <w:sz w:val="22"/>
              </w:rPr>
              <w:t>+0.9%</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Gas Equiv. Prod.</w:t>
            </w:r>
          </w:p>
        </w:tc>
        <w:tc>
          <w:tcPr>
            <w:tcW w:type="dxa" w:w="1440"/>
          </w:tcPr>
          <w:p>
            <w:r>
              <w:rPr>
                <w:rFonts w:ascii="Calibri" w:hAnsi="Calibri"/>
                <w:sz w:val="22"/>
              </w:rPr>
              <w:t>7,202 Mmcfe/d</w:t>
            </w:r>
          </w:p>
        </w:tc>
        <w:tc>
          <w:tcPr>
            <w:tcW w:type="dxa" w:w="1440"/>
          </w:tcPr>
          <w:p>
            <w:r>
              <w:rPr>
                <w:rFonts w:ascii="Calibri" w:hAnsi="Calibri"/>
                <w:sz w:val="22"/>
              </w:rPr>
              <w:t>7,166 Mmcfe/d</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$2.08</w:t>
            </w:r>
          </w:p>
        </w:tc>
        <w:tc>
          <w:tcPr>
            <w:tcW w:type="dxa" w:w="1440"/>
          </w:tcPr>
          <w:p>
            <w:r>
              <w:rPr>
                <w:rFonts w:ascii="Calibri" w:hAnsi="Calibri"/>
                <w:sz w:val="22"/>
              </w:rPr>
              <w:t>$1.85</w:t>
            </w:r>
          </w:p>
        </w:tc>
        <w:tc>
          <w:tcPr>
            <w:tcW w:type="dxa" w:w="1440"/>
          </w:tcPr>
          <w:p>
            <w:r>
              <w:rPr>
                <w:rFonts w:ascii="Calibri" w:hAnsi="Calibri"/>
                <w:sz w:val="22"/>
              </w:rPr>
              <w:t>+12.4%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Gas Equiv. Prod.</w:t>
            </w:r>
          </w:p>
        </w:tc>
        <w:tc>
          <w:tcPr>
            <w:tcW w:type="dxa" w:w="1440"/>
          </w:tcPr>
          <w:p>
            <w:r>
              <w:rPr>
                <w:rFonts w:ascii="Calibri" w:hAnsi="Calibri"/>
                <w:sz w:val="22"/>
              </w:rPr>
              <w:t>6,788 Mmcfe/d</w:t>
            </w:r>
          </w:p>
        </w:tc>
        <w:tc>
          <w:tcPr>
            <w:tcW w:type="dxa" w:w="1440"/>
          </w:tcPr>
          <w:p>
            <w:r>
              <w:rPr>
                <w:rFonts w:ascii="Calibri" w:hAnsi="Calibri"/>
                <w:sz w:val="22"/>
              </w:rPr>
              <w:t>6,777 Mmcfe/d</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$0.57</w:t>
            </w:r>
          </w:p>
        </w:tc>
        <w:tc>
          <w:tcPr>
            <w:tcW w:type="dxa" w:w="1440"/>
          </w:tcPr>
          <w:p>
            <w:r>
              <w:rPr>
                <w:rFonts w:ascii="Calibri" w:hAnsi="Calibri"/>
                <w:sz w:val="22"/>
              </w:rPr>
              <w:t>$0.43</w:t>
            </w:r>
          </w:p>
        </w:tc>
        <w:tc>
          <w:tcPr>
            <w:tcW w:type="dxa" w:w="1440"/>
          </w:tcPr>
          <w:p>
            <w:r>
              <w:rPr>
                <w:rFonts w:ascii="Calibri" w:hAnsi="Calibri"/>
                <w:sz w:val="22"/>
              </w:rPr>
              <w:t>+30.5%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Gas Equiv. Prod.</w:t>
            </w:r>
          </w:p>
        </w:tc>
        <w:tc>
          <w:tcPr>
            <w:tcW w:type="dxa" w:w="1440"/>
          </w:tcPr>
          <w:p>
            <w:r>
              <w:rPr>
                <w:rFonts w:ascii="Calibri" w:hAnsi="Calibri"/>
                <w:sz w:val="22"/>
              </w:rPr>
              <w:t>6,412 Mmcfe/d</w:t>
            </w:r>
          </w:p>
        </w:tc>
        <w:tc>
          <w:tcPr>
            <w:tcW w:type="dxa" w:w="1440"/>
          </w:tcPr>
          <w:p>
            <w:r>
              <w:rPr>
                <w:rFonts w:ascii="Calibri" w:hAnsi="Calibri"/>
                <w:sz w:val="22"/>
              </w:rPr>
              <w:t>6,411 Mmcfe/d</w:t>
            </w:r>
          </w:p>
        </w:tc>
        <w:tc>
          <w:tcPr>
            <w:tcW w:type="dxa" w:w="1440"/>
          </w:tcPr>
          <w:p>
            <w:r>
              <w:rPr>
                <w:rFonts w:ascii="Calibri" w:hAnsi="Calibri"/>
                <w:sz w:val="22"/>
              </w:rPr>
              <w:t>~0%</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i/>
          <w:color w:val="525866"/>
          <w:sz w:val="22"/>
        </w:rPr>
        <w:t>EXE has beaten operating EPS consensus in 6 of the last 7 reported quarters, with the largest beats driven by marketing gains and synergy outperformance; production has consistently come in at or slightly above consensus, reflecting disciplined operational execution.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production and CapEx guidance are unchanged since the Q1 earnings call (April 29, 2026). The only material post-earnings development is the July 27 Twin Eagle acquisition announcement, which raises the marketing EBITDA target by 50% to $750M/year of incremental FCF — a significant upward revision to the commercial strategy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29)</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FY2026 Gas Equiv. Production</w:t>
            </w:r>
          </w:p>
        </w:tc>
        <w:tc>
          <w:tcPr>
            <w:tcW w:type="dxa" w:w="1728"/>
          </w:tcPr>
          <w:p>
            <w:r>
              <w:rPr>
                <w:rFonts w:ascii="Calibri" w:hAnsi="Calibri"/>
                <w:sz w:val="22"/>
              </w:rPr>
              <w:t>7,500 Mmcfe/d (unchanged)</w:t>
            </w:r>
          </w:p>
        </w:tc>
        <w:tc>
          <w:tcPr>
            <w:tcW w:type="dxa" w:w="1728"/>
          </w:tcPr>
          <w:p>
            <w:r>
              <w:rPr>
                <w:rFonts w:ascii="Calibri" w:hAnsi="Calibri"/>
                <w:sz w:val="22"/>
              </w:rPr>
              <w:t>—</w:t>
            </w:r>
          </w:p>
        </w:tc>
        <w:tc>
          <w:tcPr>
            <w:tcW w:type="dxa" w:w="1728"/>
          </w:tcPr>
          <w:p>
            <w:r>
              <w:rPr>
                <w:rFonts w:ascii="Calibri" w:hAnsi="Calibri"/>
                <w:sz w:val="22"/>
              </w:rPr>
              <w:t>7,508 Mmcfe/d</w:t>
            </w:r>
          </w:p>
        </w:tc>
        <w:tc>
          <w:tcPr>
            <w:tcW w:type="dxa" w:w="1728"/>
          </w:tcPr>
          <w:p>
            <w:r>
              <w:rPr>
                <w:rFonts w:ascii="Calibri" w:hAnsi="Calibri"/>
                <w:sz w:val="22"/>
              </w:rPr>
              <w:t>Guidance unchanged; consensus in line</w:t>
            </w:r>
          </w:p>
        </w:tc>
      </w:tr>
      <w:tr>
        <w:tc>
          <w:tcPr>
            <w:tcW w:type="dxa" w:w="1728"/>
          </w:tcPr>
          <w:p>
            <w:r>
              <w:rPr>
                <w:rFonts w:ascii="Calibri" w:hAnsi="Calibri"/>
                <w:sz w:val="22"/>
              </w:rPr>
              <w:t>FY2026 Total CapEx</w:t>
            </w:r>
          </w:p>
        </w:tc>
        <w:tc>
          <w:tcPr>
            <w:tcW w:type="dxa" w:w="1728"/>
          </w:tcPr>
          <w:p>
            <w:r>
              <w:rPr>
                <w:rFonts w:ascii="Calibri" w:hAnsi="Calibri"/>
                <w:sz w:val="22"/>
              </w:rPr>
              <w:t>$2.85B</w:t>
            </w:r>
          </w:p>
        </w:tc>
        <w:tc>
          <w:tcPr>
            <w:tcW w:type="dxa" w:w="1728"/>
          </w:tcPr>
          <w:p>
            <w:r>
              <w:rPr>
                <w:rFonts w:ascii="Calibri" w:hAnsi="Calibri"/>
                <w:sz w:val="22"/>
              </w:rPr>
              <w:t>—</w:t>
            </w:r>
          </w:p>
        </w:tc>
        <w:tc>
          <w:tcPr>
            <w:tcW w:type="dxa" w:w="1728"/>
          </w:tcPr>
          <w:p>
            <w:r>
              <w:rPr>
                <w:rFonts w:ascii="Calibri" w:hAnsi="Calibri"/>
                <w:sz w:val="22"/>
              </w:rPr>
              <w:t>$2.86B</w:t>
            </w:r>
          </w:p>
        </w:tc>
        <w:tc>
          <w:tcPr>
            <w:tcW w:type="dxa" w:w="1728"/>
          </w:tcPr>
          <w:p>
            <w:r>
              <w:rPr>
                <w:rFonts w:ascii="Calibri" w:hAnsi="Calibri"/>
                <w:sz w:val="22"/>
              </w:rPr>
              <w:t>Guidance unchanged; consensus in line</w:t>
            </w:r>
          </w:p>
        </w:tc>
      </w:tr>
      <w:tr>
        <w:tc>
          <w:tcPr>
            <w:tcW w:type="dxa" w:w="1728"/>
          </w:tcPr>
          <w:p>
            <w:r>
              <w:rPr>
                <w:rFonts w:ascii="Calibri" w:hAnsi="Calibri"/>
                <w:sz w:val="22"/>
              </w:rPr>
              <w:t>Q2 2026 CapEx</w:t>
            </w:r>
          </w:p>
        </w:tc>
        <w:tc>
          <w:tcPr>
            <w:tcW w:type="dxa" w:w="1728"/>
          </w:tcPr>
          <w:p>
            <w:r>
              <w:rPr>
                <w:rFonts w:ascii="Calibri" w:hAnsi="Calibri"/>
                <w:sz w:val="22"/>
              </w:rPr>
              <w:t>Guided as high point for year; DNC + non-DNC elevated</w:t>
            </w:r>
          </w:p>
        </w:tc>
        <w:tc>
          <w:tcPr>
            <w:tcW w:type="dxa" w:w="1728"/>
          </w:tcPr>
          <w:p>
            <w:r>
              <w:rPr>
                <w:rFonts w:ascii="Calibri" w:hAnsi="Calibri"/>
                <w:sz w:val="22"/>
              </w:rPr>
              <w:t>—</w:t>
            </w:r>
          </w:p>
        </w:tc>
        <w:tc>
          <w:tcPr>
            <w:tcW w:type="dxa" w:w="1728"/>
          </w:tcPr>
          <w:p>
            <w:r>
              <w:rPr>
                <w:rFonts w:ascii="Calibri" w:hAnsi="Calibri"/>
                <w:sz w:val="22"/>
              </w:rPr>
              <w:t>$822M</w:t>
            </w:r>
          </w:p>
        </w:tc>
        <w:tc>
          <w:tcPr>
            <w:tcW w:type="dxa" w:w="1728"/>
          </w:tcPr>
          <w:p>
            <w:r>
              <w:rPr>
                <w:rFonts w:ascii="Calibri" w:hAnsi="Calibri"/>
                <w:sz w:val="22"/>
              </w:rPr>
              <w:t>Consensus reflects Q2 high-point guidance; H2 expected to moderate</w:t>
            </w:r>
          </w:p>
        </w:tc>
      </w:tr>
      <w:tr>
        <w:tc>
          <w:tcPr>
            <w:tcW w:type="dxa" w:w="1728"/>
          </w:tcPr>
          <w:p>
            <w:r>
              <w:rPr>
                <w:rFonts w:ascii="Calibri" w:hAnsi="Calibri"/>
                <w:sz w:val="22"/>
              </w:rPr>
              <w:t>Breakeven Price</w:t>
            </w:r>
          </w:p>
        </w:tc>
        <w:tc>
          <w:tcPr>
            <w:tcW w:type="dxa" w:w="1728"/>
          </w:tcPr>
          <w:p>
            <w:r>
              <w:rPr>
                <w:rFonts w:ascii="Calibri" w:hAnsi="Calibri"/>
                <w:sz w:val="22"/>
              </w:rPr>
              <w:t>"Well below $3" (management commentary)</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competitive advantage vs. peers</w:t>
            </w:r>
          </w:p>
        </w:tc>
      </w:tr>
      <w:tr>
        <w:tc>
          <w:tcPr>
            <w:tcW w:type="dxa" w:w="1728"/>
          </w:tcPr>
          <w:p>
            <w:r>
              <w:rPr>
                <w:rFonts w:ascii="Calibri" w:hAnsi="Calibri"/>
                <w:sz w:val="22"/>
              </w:rPr>
              <w:t>Marketing Incremental FCF Target</w:t>
            </w:r>
          </w:p>
        </w:tc>
        <w:tc>
          <w:tcPr>
            <w:tcW w:type="dxa" w:w="1728"/>
          </w:tcPr>
          <w:p>
            <w:r>
              <w:rPr>
                <w:rFonts w:ascii="Calibri" w:hAnsi="Calibri"/>
                <w:sz w:val="22"/>
              </w:rPr>
              <w:t>$500M/year ("~$0.20 margin uplift")</w:t>
            </w:r>
          </w:p>
        </w:tc>
        <w:tc>
          <w:tcPr>
            <w:tcW w:type="dxa" w:w="1728"/>
          </w:tcPr>
          <w:p>
            <w:r>
              <w:rPr>
                <w:rFonts w:ascii="Calibri" w:hAnsi="Calibri"/>
                <w:sz w:val="22"/>
              </w:rPr>
              <w:t>↑ Raised to $750M/year (Jul 27, 2026 — Twin Eagle acquisition announcement)</w:t>
            </w:r>
          </w:p>
        </w:tc>
        <w:tc>
          <w:tcPr>
            <w:tcW w:type="dxa" w:w="1728"/>
          </w:tcPr>
          <w:p>
            <w:r>
              <w:rPr>
                <w:rFonts w:ascii="Calibri" w:hAnsi="Calibri"/>
                <w:sz w:val="22"/>
              </w:rPr>
              <w:t>N/A — not in VA</w:t>
            </w:r>
          </w:p>
        </w:tc>
        <w:tc>
          <w:tcPr>
            <w:tcW w:type="dxa" w:w="1728"/>
          </w:tcPr>
          <w:p>
            <w:r>
              <w:rPr>
                <w:rFonts w:ascii="Calibri" w:hAnsi="Calibri"/>
                <w:sz w:val="22"/>
              </w:rPr>
              <w:t>↑ Raised 50% via 8-K/press release Jul 27, 2026; reflects Twin Eagle platform addition</w:t>
            </w:r>
          </w:p>
        </w:tc>
      </w:tr>
      <w:tr>
        <w:tc>
          <w:tcPr>
            <w:tcW w:type="dxa" w:w="1728"/>
          </w:tcPr>
          <w:p>
            <w:r>
              <w:rPr>
                <w:rFonts w:ascii="Calibri" w:hAnsi="Calibri"/>
                <w:sz w:val="22"/>
              </w:rPr>
              <w:t>Debt Reduction Target</w:t>
            </w:r>
          </w:p>
        </w:tc>
        <w:tc>
          <w:tcPr>
            <w:tcW w:type="dxa" w:w="1728"/>
          </w:tcPr>
          <w:p>
            <w:r>
              <w:rPr>
                <w:rFonts w:ascii="Calibri" w:hAnsi="Calibri"/>
                <w:sz w:val="22"/>
              </w:rPr>
              <w:t>≥$1B for FY2026 (achieved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Target met ahead of schedule; capital allocation pivoting to buybacks</w:t>
            </w:r>
          </w:p>
        </w:tc>
      </w:tr>
      <w:tr>
        <w:tc>
          <w:tcPr>
            <w:tcW w:type="dxa" w:w="1728"/>
          </w:tcPr>
          <w:p>
            <w:r>
              <w:rPr>
                <w:rFonts w:ascii="Calibri" w:hAnsi="Calibri"/>
                <w:sz w:val="22"/>
              </w:rPr>
              <w:t>Delfin LNG SPA</w:t>
            </w:r>
          </w:p>
        </w:tc>
        <w:tc>
          <w:tcPr>
            <w:tcW w:type="dxa" w:w="1728"/>
          </w:tcPr>
          <w:p>
            <w:r>
              <w:rPr>
                <w:rFonts w:ascii="Calibri" w:hAnsi="Calibri"/>
                <w:sz w:val="22"/>
              </w:rPr>
              <w:t>1.15 MTPA offtake announced Apr 29,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Foundational LNG contract; gas supply manager role under negotiation</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Q1 earnings, primarily on FY2026 EPS (down ~4.6%), reflecting softer near-term Henry Hub pricing rather than operational concerns. Production and CapEx estimates are essentially unchanged, confirming the market views the operational plan as on track. The gap between current consensus and initial guidance is narrow, suggesting limited downside risk from estimate cuts at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(as of May 5, 2026)</w:t>
            </w:r>
          </w:p>
        </w:tc>
        <w:tc>
          <w:tcPr>
            <w:tcW w:type="dxa" w:w="1080"/>
          </w:tcPr>
          <w:p>
            <w:r>
              <w:rPr>
                <w:rFonts w:ascii="Calibri" w:hAnsi="Calibri"/>
                <w:b/>
                <w:sz w:val="22"/>
              </w:rPr>
              <w:t>Current Consensus (Jul 28,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 vs. Guidance (%)</w:t>
            </w:r>
          </w:p>
        </w:tc>
      </w:tr>
      <w:tr>
        <w:tc>
          <w:tcPr>
            <w:tcW w:type="dxa" w:w="1080"/>
          </w:tcPr>
          <w:p>
            <w:r>
              <w:rPr>
                <w:rFonts w:ascii="Calibri" w:hAnsi="Calibri"/>
                <w:sz w:val="22"/>
              </w:rPr>
              <w:t>Op. EPS — Q2 2026</w:t>
            </w:r>
          </w:p>
        </w:tc>
        <w:tc>
          <w:tcPr>
            <w:tcW w:type="dxa" w:w="1080"/>
          </w:tcPr>
          <w:p>
            <w:r>
              <w:rPr>
                <w:rFonts w:ascii="Calibri" w:hAnsi="Calibri"/>
                <w:sz w:val="22"/>
              </w:rPr>
              <w:t>$1.142</w:t>
            </w:r>
          </w:p>
        </w:tc>
        <w:tc>
          <w:tcPr>
            <w:tcW w:type="dxa" w:w="1080"/>
          </w:tcPr>
          <w:p>
            <w:r>
              <w:rPr>
                <w:rFonts w:ascii="Calibri" w:hAnsi="Calibri"/>
                <w:sz w:val="22"/>
              </w:rPr>
              <w:t>$1.143</w:t>
            </w:r>
          </w:p>
        </w:tc>
        <w:tc>
          <w:tcPr>
            <w:tcW w:type="dxa" w:w="1080"/>
          </w:tcPr>
          <w:p>
            <w:r>
              <w:rPr>
                <w:rFonts w:ascii="Calibri" w:hAnsi="Calibri"/>
                <w:sz w:val="22"/>
              </w:rPr>
              <w:t>+0.1%</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$8.92</w:t>
            </w:r>
          </w:p>
        </w:tc>
        <w:tc>
          <w:tcPr>
            <w:tcW w:type="dxa" w:w="1080"/>
          </w:tcPr>
          <w:p>
            <w:r>
              <w:rPr>
                <w:rFonts w:ascii="Calibri" w:hAnsi="Calibri"/>
                <w:sz w:val="22"/>
              </w:rPr>
              <w:t>$8.51</w:t>
            </w:r>
          </w:p>
        </w:tc>
        <w:tc>
          <w:tcPr>
            <w:tcW w:type="dxa" w:w="1080"/>
          </w:tcPr>
          <w:p>
            <w:r>
              <w:rPr>
                <w:rFonts w:ascii="Calibri" w:hAnsi="Calibri"/>
                <w:b/>
                <w:color w:val="E5484D"/>
                <w:sz w:val="22"/>
              </w:rPr>
              <w:t>-4.6%</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Gas Equiv. Prod. — Q2 2026 (Mmcfe/d)</w:t>
            </w:r>
          </w:p>
        </w:tc>
        <w:tc>
          <w:tcPr>
            <w:tcW w:type="dxa" w:w="1080"/>
          </w:tcPr>
          <w:p>
            <w:r>
              <w:rPr>
                <w:rFonts w:ascii="Calibri" w:hAnsi="Calibri"/>
                <w:sz w:val="22"/>
              </w:rPr>
              <w:t>7,464</w:t>
            </w:r>
          </w:p>
        </w:tc>
        <w:tc>
          <w:tcPr>
            <w:tcW w:type="dxa" w:w="1080"/>
          </w:tcPr>
          <w:p>
            <w:r>
              <w:rPr>
                <w:rFonts w:ascii="Calibri" w:hAnsi="Calibri"/>
                <w:sz w:val="22"/>
              </w:rPr>
              <w:t>7,464</w:t>
            </w:r>
          </w:p>
        </w:tc>
        <w:tc>
          <w:tcPr>
            <w:tcW w:type="dxa" w:w="1080"/>
          </w:tcPr>
          <w:p>
            <w:r>
              <w:rPr>
                <w:rFonts w:ascii="Calibri" w:hAnsi="Calibri"/>
                <w:sz w:val="22"/>
              </w:rPr>
              <w:t>0.0%</w:t>
            </w:r>
          </w:p>
        </w:tc>
        <w:tc>
          <w:tcPr>
            <w:tcW w:type="dxa" w:w="1080"/>
          </w:tcPr>
          <w:p>
            <w:r>
              <w:rPr>
                <w:rFonts w:ascii="Calibri" w:hAnsi="Calibri"/>
                <w:sz w:val="22"/>
              </w:rPr>
              <w:t>~7,500 Mmcfe/d FY avg.</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FY guide</w:t>
            </w:r>
          </w:p>
        </w:tc>
      </w:tr>
      <w:tr>
        <w:tc>
          <w:tcPr>
            <w:tcW w:type="dxa" w:w="1080"/>
          </w:tcPr>
          <w:p>
            <w:r>
              <w:rPr>
                <w:rFonts w:ascii="Calibri" w:hAnsi="Calibri"/>
                <w:sz w:val="22"/>
              </w:rPr>
              <w:t>Gas Equiv. Prod. — FY2026 (Mmcfe/d)</w:t>
            </w:r>
          </w:p>
        </w:tc>
        <w:tc>
          <w:tcPr>
            <w:tcW w:type="dxa" w:w="1080"/>
          </w:tcPr>
          <w:p>
            <w:r>
              <w:rPr>
                <w:rFonts w:ascii="Calibri" w:hAnsi="Calibri"/>
                <w:sz w:val="22"/>
              </w:rPr>
              <w:t>7,508</w:t>
            </w:r>
          </w:p>
        </w:tc>
        <w:tc>
          <w:tcPr>
            <w:tcW w:type="dxa" w:w="1080"/>
          </w:tcPr>
          <w:p>
            <w:r>
              <w:rPr>
                <w:rFonts w:ascii="Calibri" w:hAnsi="Calibri"/>
                <w:sz w:val="22"/>
              </w:rPr>
              <w:t>7,508</w:t>
            </w:r>
          </w:p>
        </w:tc>
        <w:tc>
          <w:tcPr>
            <w:tcW w:type="dxa" w:w="1080"/>
          </w:tcPr>
          <w:p>
            <w:r>
              <w:rPr>
                <w:rFonts w:ascii="Calibri" w:hAnsi="Calibri"/>
                <w:sz w:val="22"/>
              </w:rPr>
              <w:t>0.0%</w:t>
            </w:r>
          </w:p>
        </w:tc>
        <w:tc>
          <w:tcPr>
            <w:tcW w:type="dxa" w:w="1080"/>
          </w:tcPr>
          <w:p>
            <w:r>
              <w:rPr>
                <w:rFonts w:ascii="Calibri" w:hAnsi="Calibri"/>
                <w:sz w:val="22"/>
              </w:rPr>
              <w:t>7,500 Mmcfe/d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guide</w:t>
            </w:r>
          </w:p>
        </w:tc>
      </w:tr>
      <w:tr>
        <w:tc>
          <w:tcPr>
            <w:tcW w:type="dxa" w:w="1080"/>
          </w:tcPr>
          <w:p>
            <w:r>
              <w:rPr>
                <w:rFonts w:ascii="Calibri" w:hAnsi="Calibri"/>
                <w:sz w:val="22"/>
              </w:rPr>
              <w:t>Total CapEx — Q2 2026 ($M)</w:t>
            </w:r>
          </w:p>
        </w:tc>
        <w:tc>
          <w:tcPr>
            <w:tcW w:type="dxa" w:w="1080"/>
          </w:tcPr>
          <w:p>
            <w:r>
              <w:rPr>
                <w:rFonts w:ascii="Calibri" w:hAnsi="Calibri"/>
                <w:sz w:val="22"/>
              </w:rPr>
              <w:t>$802</w:t>
            </w:r>
          </w:p>
        </w:tc>
        <w:tc>
          <w:tcPr>
            <w:tcW w:type="dxa" w:w="1080"/>
          </w:tcPr>
          <w:p>
            <w:r>
              <w:rPr>
                <w:rFonts w:ascii="Calibri" w:hAnsi="Calibri"/>
                <w:sz w:val="22"/>
              </w:rPr>
              <w:t>$822</w:t>
            </w:r>
          </w:p>
        </w:tc>
        <w:tc>
          <w:tcPr>
            <w:tcW w:type="dxa" w:w="1080"/>
          </w:tcPr>
          <w:p>
            <w:r>
              <w:rPr>
                <w:rFonts w:ascii="Calibri" w:hAnsi="Calibri"/>
                <w:sz w:val="22"/>
              </w:rPr>
              <w:t>+2.5%</w:t>
            </w:r>
          </w:p>
        </w:tc>
        <w:tc>
          <w:tcPr>
            <w:tcW w:type="dxa" w:w="1080"/>
          </w:tcPr>
          <w:p>
            <w:r>
              <w:rPr>
                <w:rFonts w:ascii="Calibri" w:hAnsi="Calibri"/>
                <w:sz w:val="22"/>
              </w:rPr>
              <w:t>Q2 = high point for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Total CapEx — FY2026 ($M)</w:t>
            </w:r>
          </w:p>
        </w:tc>
        <w:tc>
          <w:tcPr>
            <w:tcW w:type="dxa" w:w="1080"/>
          </w:tcPr>
          <w:p>
            <w:r>
              <w:rPr>
                <w:rFonts w:ascii="Calibri" w:hAnsi="Calibri"/>
                <w:sz w:val="22"/>
              </w:rPr>
              <w:t>$2,849</w:t>
            </w:r>
          </w:p>
        </w:tc>
        <w:tc>
          <w:tcPr>
            <w:tcW w:type="dxa" w:w="1080"/>
          </w:tcPr>
          <w:p>
            <w:r>
              <w:rPr>
                <w:rFonts w:ascii="Calibri" w:hAnsi="Calibri"/>
                <w:sz w:val="22"/>
              </w:rPr>
              <w:t>$2,858</w:t>
            </w:r>
          </w:p>
        </w:tc>
        <w:tc>
          <w:tcPr>
            <w:tcW w:type="dxa" w:w="1080"/>
          </w:tcPr>
          <w:p>
            <w:r>
              <w:rPr>
                <w:rFonts w:ascii="Calibri" w:hAnsi="Calibri"/>
                <w:sz w:val="22"/>
              </w:rPr>
              <w:t>+0.3%</w:t>
            </w:r>
          </w:p>
        </w:tc>
        <w:tc>
          <w:tcPr>
            <w:tcW w:type="dxa" w:w="1080"/>
          </w:tcPr>
          <w:p>
            <w:r>
              <w:rPr>
                <w:rFonts w:ascii="Calibri" w:hAnsi="Calibri"/>
                <w:sz w:val="22"/>
              </w:rPr>
              <w:t>$2,850M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guide midpoint</w:t>
            </w:r>
          </w:p>
        </w:tc>
      </w:tr>
      <w:tr>
        <w:tc>
          <w:tcPr>
            <w:tcW w:type="dxa" w:w="1080"/>
          </w:tcPr>
          <w:p>
            <w:r>
              <w:rPr>
                <w:rFonts w:ascii="Calibri" w:hAnsi="Calibri"/>
                <w:sz w:val="22"/>
              </w:rPr>
              <w:t>EBITDA — Q2 2026 ($M)</w:t>
            </w:r>
          </w:p>
        </w:tc>
        <w:tc>
          <w:tcPr>
            <w:tcW w:type="dxa" w:w="1080"/>
          </w:tcPr>
          <w:p>
            <w:r>
              <w:rPr>
                <w:rFonts w:ascii="Calibri" w:hAnsi="Calibri"/>
                <w:sz w:val="22"/>
              </w:rPr>
              <w:t>$1,145</w:t>
            </w:r>
          </w:p>
        </w:tc>
        <w:tc>
          <w:tcPr>
            <w:tcW w:type="dxa" w:w="1080"/>
          </w:tcPr>
          <w:p>
            <w:r>
              <w:rPr>
                <w:rFonts w:ascii="Calibri" w:hAnsi="Calibri"/>
                <w:sz w:val="22"/>
              </w:rPr>
              <w:t>$1,155</w:t>
            </w:r>
          </w:p>
        </w:tc>
        <w:tc>
          <w:tcPr>
            <w:tcW w:type="dxa" w:w="1080"/>
          </w:tcPr>
          <w:p>
            <w:r>
              <w:rPr>
                <w:rFonts w:ascii="Calibri" w:hAnsi="Calibri"/>
                <w:sz w:val="22"/>
              </w:rPr>
              <w:t>+0.9%</w:t>
            </w:r>
          </w:p>
        </w:tc>
        <w:tc>
          <w:tcPr>
            <w:tcW w:type="dxa" w:w="1080"/>
          </w:tcPr>
          <w:p>
            <w:r>
              <w:rPr>
                <w:rFonts w:ascii="Calibri" w:hAnsi="Calibri"/>
                <w:sz w:val="22"/>
              </w:rPr>
              <w:t>No specific Q2 EBITDA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EBITDA — FY2026 ($M)</w:t>
            </w:r>
          </w:p>
        </w:tc>
        <w:tc>
          <w:tcPr>
            <w:tcW w:type="dxa" w:w="1080"/>
          </w:tcPr>
          <w:p>
            <w:r>
              <w:rPr>
                <w:rFonts w:ascii="Calibri" w:hAnsi="Calibri"/>
                <w:sz w:val="22"/>
              </w:rPr>
              <w:t>$6,115</w:t>
            </w:r>
          </w:p>
        </w:tc>
        <w:tc>
          <w:tcPr>
            <w:tcW w:type="dxa" w:w="1080"/>
          </w:tcPr>
          <w:p>
            <w:r>
              <w:rPr>
                <w:rFonts w:ascii="Calibri" w:hAnsi="Calibri"/>
                <w:sz w:val="22"/>
              </w:rPr>
              <w:t>$5,994</w:t>
            </w:r>
          </w:p>
        </w:tc>
        <w:tc>
          <w:tcPr>
            <w:tcW w:type="dxa" w:w="1080"/>
          </w:tcPr>
          <w:p>
            <w:r>
              <w:rPr>
                <w:rFonts w:ascii="Calibri" w:hAnsi="Calibri"/>
                <w:sz w:val="22"/>
              </w:rPr>
              <w:t>-2.0%</w:t>
            </w:r>
          </w:p>
        </w:tc>
        <w:tc>
          <w:tcPr>
            <w:tcW w:type="dxa" w:w="1080"/>
          </w:tcPr>
          <w:p>
            <w:r>
              <w:rPr>
                <w:rFonts w:ascii="Calibri" w:hAnsi="Calibri"/>
                <w:sz w:val="22"/>
              </w:rPr>
              <w:t>No specific FY EBITDA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The modest FY2026 EPS revision lower (~4.6%) since Q1 earnings reflects softer Henry Hub pricing assumptions rather than operational deterioration; production and CapEx estimates are essentially flat, confirming the operational plan is on track. The Q2 EPS estimate is nearly unchanged, suggesting the market has not pre-positioned for a large beat or miss on the quarter itself.</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stock's ~17% decline over the past six months has been almost entirely driven by multiple compression (EV/EBITDA from ~5.1x to ~4.2x), not estimate cuts — suggesting the selloff reflects macro/commodity sentiment rather than fundamental deterioration, and leaving valuation undemanding heading into the print.</w:t>
      </w:r>
    </w:p>
    <w:p>
      <w:r>
        <w:rPr>
          <w:rFonts w:ascii="Calibri" w:hAnsi="Calibri"/>
          <w:b/>
          <w:color w:val="525866"/>
          <w:sz w:val="22"/>
        </w:rPr>
        <w:t xml:space="preserve">Sector ETF: </w:t>
      </w:r>
      <w:r>
        <w:rPr>
          <w:rFonts w:ascii="Calibri" w:hAnsi="Calibri"/>
          <w:color w:val="525866"/>
          <w:sz w:val="22"/>
        </w:rPr>
        <w:t>XOP (SPDR S&amp;P Oil &amp; Gas Exploration &amp; Production ETF) — appropriate sub-sector benchmark for an independent E&amp;P.</w:t>
      </w:r>
    </w:p>
    <w:p>
      <w:r>
        <w:rPr>
          <w:rFonts w:ascii="Calibri" w:hAnsi="Calibri"/>
          <w:color w:val="525866"/>
          <w:sz w:val="22"/>
        </w:rPr>
        <w:t>Since the Q1 2026 earnings release (April 28–29, 2026), EXE has underperformed both the XOP and the S&amp;P 500. The stock entered the post-earnings period near $102 and has drifted lower to approximately $90–91, a decline of roughly 11–12% since the print. The performance decomposition data shows that over the past 6 months, EXE's price declined ~17%, with EV/EBITDA multiple contracting from ~5.14x to ~4.20x (a ~18% compression) — meaning the stock would have been roughly flat if multiples had held. Over the past 3 months, the stock is down ~6%, again driven by multiple compression (~9%) partially offset by modest estimate stability. The 1-month picture is more constructive: EXE is up ~2.4%, with the multiple recovering slightly (+7.7%), suggesting early signs of stabilization. The NTM EV/EBITDA of 4.2x is at the low end of the post-merger trading range and represents a meaningful discount to the company's improving business quality. Key events since Q1 earnings include: the CFO VP of Accounting resignation (June 26), the Twin Eagle acquisition announcement (July 27), and ongoing Middle East geopolitical developments affecting energy sentiment.</w:t>
      </w:r>
    </w:p>
    <w:p>
      <w:r>
        <w:rPr>
          <w:rFonts w:ascii="Calibri" w:hAnsi="Calibri"/>
          <w:i/>
          <w:color w:val="525866"/>
          <w:sz w:val="22"/>
        </w:rPr>
        <w:t>Source: Stock performance decomposition data as of July 27, 2026. NTM multiples from Visible Alpha.</w:t>
      </w:r>
    </w:p>
    <w:p>
      <w:pPr>
        <w:pStyle w:val="Heading3"/>
      </w:pPr>
      <w:r>
        <w:rPr>
          <w:rFonts w:ascii="Calibri" w:hAnsi="Calibri"/>
          <w:b/>
          <w:color w:val="3B4259"/>
          <w:sz w:val="24"/>
        </w:rPr>
        <w:t>Stock Performance Summary — EXE vs. XOP vs. S&amp;P 500 (Since Q1 2026 Earnings, Apr 28,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Horizon</w:t>
            </w:r>
          </w:p>
        </w:tc>
        <w:tc>
          <w:tcPr>
            <w:tcW w:type="dxa" w:w="1440"/>
          </w:tcPr>
          <w:p>
            <w:r>
              <w:rPr>
                <w:rFonts w:ascii="Calibri" w:hAnsi="Calibri"/>
                <w:b/>
                <w:sz w:val="22"/>
              </w:rPr>
              <w:t>EXE Price Chg.</w:t>
            </w:r>
          </w:p>
        </w:tc>
        <w:tc>
          <w:tcPr>
            <w:tcW w:type="dxa" w:w="1440"/>
          </w:tcPr>
          <w:p>
            <w:r>
              <w:rPr>
                <w:rFonts w:ascii="Calibri" w:hAnsi="Calibri"/>
                <w:b/>
                <w:sz w:val="22"/>
              </w:rPr>
              <w:t>EV/EBITDA (NTM) at Start</w:t>
            </w:r>
          </w:p>
        </w:tc>
        <w:tc>
          <w:tcPr>
            <w:tcW w:type="dxa" w:w="1440"/>
          </w:tcPr>
          <w:p>
            <w:r>
              <w:rPr>
                <w:rFonts w:ascii="Calibri" w:hAnsi="Calibri"/>
                <w:b/>
                <w:sz w:val="22"/>
              </w:rPr>
              <w:t>EV/EBITDA (NTM) Current</w:t>
            </w:r>
          </w:p>
        </w:tc>
        <w:tc>
          <w:tcPr>
            <w:tcW w:type="dxa" w:w="1440"/>
          </w:tcPr>
          <w:p>
            <w:r>
              <w:rPr>
                <w:rFonts w:ascii="Calibri" w:hAnsi="Calibri"/>
                <w:b/>
                <w:sz w:val="22"/>
              </w:rPr>
              <w:t>Multiple Chg.</w:t>
            </w:r>
          </w:p>
        </w:tc>
        <w:tc>
          <w:tcPr>
            <w:tcW w:type="dxa" w:w="1440"/>
          </w:tcPr>
          <w:p>
            <w:r>
              <w:rPr>
                <w:rFonts w:ascii="Calibri" w:hAnsi="Calibri"/>
                <w:b/>
                <w:sz w:val="22"/>
              </w:rPr>
              <w:t>Driver</w:t>
            </w:r>
          </w:p>
        </w:tc>
      </w:tr>
      <w:tr>
        <w:tc>
          <w:tcPr>
            <w:tcW w:type="dxa" w:w="1440"/>
          </w:tcPr>
          <w:p>
            <w:r>
              <w:rPr>
                <w:rFonts w:ascii="Calibri" w:hAnsi="Calibri"/>
                <w:sz w:val="22"/>
              </w:rPr>
              <w:t>1 Month</w:t>
            </w:r>
          </w:p>
        </w:tc>
        <w:tc>
          <w:tcPr>
            <w:tcW w:type="dxa" w:w="1440"/>
          </w:tcPr>
          <w:p>
            <w:r>
              <w:rPr>
                <w:rFonts w:ascii="Calibri" w:hAnsi="Calibri"/>
                <w:sz w:val="22"/>
              </w:rPr>
              <w:t>+2.4%</w:t>
            </w:r>
          </w:p>
        </w:tc>
        <w:tc>
          <w:tcPr>
            <w:tcW w:type="dxa" w:w="1440"/>
          </w:tcPr>
          <w:p>
            <w:r>
              <w:rPr>
                <w:rFonts w:ascii="Calibri" w:hAnsi="Calibri"/>
                <w:sz w:val="22"/>
              </w:rPr>
              <w:t>3.90x</w:t>
            </w:r>
          </w:p>
        </w:tc>
        <w:tc>
          <w:tcPr>
            <w:tcW w:type="dxa" w:w="1440"/>
          </w:tcPr>
          <w:p>
            <w:r>
              <w:rPr>
                <w:rFonts w:ascii="Calibri" w:hAnsi="Calibri"/>
                <w:sz w:val="22"/>
              </w:rPr>
              <w:t>4.20x</w:t>
            </w:r>
          </w:p>
        </w:tc>
        <w:tc>
          <w:tcPr>
            <w:tcW w:type="dxa" w:w="1440"/>
          </w:tcPr>
          <w:p>
            <w:r>
              <w:rPr>
                <w:rFonts w:ascii="Calibri" w:hAnsi="Calibri"/>
                <w:sz w:val="22"/>
              </w:rPr>
              <w:t>+7.7%</w:t>
            </w:r>
          </w:p>
        </w:tc>
        <w:tc>
          <w:tcPr>
            <w:tcW w:type="dxa" w:w="1440"/>
          </w:tcPr>
          <w:p>
            <w:r>
              <w:rPr>
                <w:rFonts w:ascii="Calibri" w:hAnsi="Calibri"/>
                <w:sz w:val="22"/>
              </w:rPr>
              <w:t>Multiple re-rating</w:t>
            </w:r>
          </w:p>
        </w:tc>
      </w:tr>
      <w:tr>
        <w:tc>
          <w:tcPr>
            <w:tcW w:type="dxa" w:w="1440"/>
          </w:tcPr>
          <w:p>
            <w:r>
              <w:rPr>
                <w:rFonts w:ascii="Calibri" w:hAnsi="Calibri"/>
                <w:sz w:val="22"/>
              </w:rPr>
              <w:t>3 Months</w:t>
            </w:r>
          </w:p>
        </w:tc>
        <w:tc>
          <w:tcPr>
            <w:tcW w:type="dxa" w:w="1440"/>
          </w:tcPr>
          <w:p>
            <w:r>
              <w:rPr>
                <w:rFonts w:ascii="Calibri" w:hAnsi="Calibri"/>
                <w:sz w:val="22"/>
              </w:rPr>
              <w:t>-6.1%</w:t>
            </w:r>
          </w:p>
        </w:tc>
        <w:tc>
          <w:tcPr>
            <w:tcW w:type="dxa" w:w="1440"/>
          </w:tcPr>
          <w:p>
            <w:r>
              <w:rPr>
                <w:rFonts w:ascii="Calibri" w:hAnsi="Calibri"/>
                <w:sz w:val="22"/>
              </w:rPr>
              <w:t>4.62x</w:t>
            </w:r>
          </w:p>
        </w:tc>
        <w:tc>
          <w:tcPr>
            <w:tcW w:type="dxa" w:w="1440"/>
          </w:tcPr>
          <w:p>
            <w:r>
              <w:rPr>
                <w:rFonts w:ascii="Calibri" w:hAnsi="Calibri"/>
                <w:sz w:val="22"/>
              </w:rPr>
              <w:t>4.20x</w:t>
            </w:r>
          </w:p>
        </w:tc>
        <w:tc>
          <w:tcPr>
            <w:tcW w:type="dxa" w:w="1440"/>
          </w:tcPr>
          <w:p>
            <w:r>
              <w:rPr>
                <w:rFonts w:ascii="Calibri" w:hAnsi="Calibri"/>
                <w:sz w:val="22"/>
              </w:rPr>
              <w:t>-8.9%</w:t>
            </w:r>
          </w:p>
        </w:tc>
        <w:tc>
          <w:tcPr>
            <w:tcW w:type="dxa" w:w="1440"/>
          </w:tcPr>
          <w:p>
            <w:r>
              <w:rPr>
                <w:rFonts w:ascii="Calibri" w:hAnsi="Calibri"/>
                <w:sz w:val="22"/>
              </w:rPr>
              <w:t>Multiple compression</w:t>
            </w:r>
          </w:p>
        </w:tc>
      </w:tr>
      <w:tr>
        <w:tc>
          <w:tcPr>
            <w:tcW w:type="dxa" w:w="1440"/>
          </w:tcPr>
          <w:p>
            <w:r>
              <w:rPr>
                <w:rFonts w:ascii="Calibri" w:hAnsi="Calibri"/>
                <w:sz w:val="22"/>
              </w:rPr>
              <w:t>6 Months</w:t>
            </w:r>
          </w:p>
        </w:tc>
        <w:tc>
          <w:tcPr>
            <w:tcW w:type="dxa" w:w="1440"/>
          </w:tcPr>
          <w:p>
            <w:r>
              <w:rPr>
                <w:rFonts w:ascii="Calibri" w:hAnsi="Calibri"/>
                <w:sz w:val="22"/>
              </w:rPr>
              <w:t>-17.3%</w:t>
            </w:r>
          </w:p>
        </w:tc>
        <w:tc>
          <w:tcPr>
            <w:tcW w:type="dxa" w:w="1440"/>
          </w:tcPr>
          <w:p>
            <w:r>
              <w:rPr>
                <w:rFonts w:ascii="Calibri" w:hAnsi="Calibri"/>
                <w:sz w:val="22"/>
              </w:rPr>
              <w:t>5.14x</w:t>
            </w:r>
          </w:p>
        </w:tc>
        <w:tc>
          <w:tcPr>
            <w:tcW w:type="dxa" w:w="1440"/>
          </w:tcPr>
          <w:p>
            <w:r>
              <w:rPr>
                <w:rFonts w:ascii="Calibri" w:hAnsi="Calibri"/>
                <w:sz w:val="22"/>
              </w:rPr>
              <w:t>4.20x</w:t>
            </w:r>
          </w:p>
        </w:tc>
        <w:tc>
          <w:tcPr>
            <w:tcW w:type="dxa" w:w="1440"/>
          </w:tcPr>
          <w:p>
            <w:r>
              <w:rPr>
                <w:rFonts w:ascii="Calibri" w:hAnsi="Calibri"/>
                <w:sz w:val="22"/>
              </w:rPr>
              <w:t>-18.3%</w:t>
            </w:r>
          </w:p>
        </w:tc>
        <w:tc>
          <w:tcPr>
            <w:tcW w:type="dxa" w:w="1440"/>
          </w:tcPr>
          <w:p>
            <w:r>
              <w:rPr>
                <w:rFonts w:ascii="Calibri" w:hAnsi="Calibri"/>
                <w:sz w:val="22"/>
              </w:rPr>
              <w:t>Multiple compression (dominant driver)</w:t>
            </w:r>
          </w:p>
        </w:tc>
      </w:tr>
      <w:tr>
        <w:tc>
          <w:tcPr>
            <w:tcW w:type="dxa" w:w="1440"/>
          </w:tcPr>
          <w:p>
            <w:r>
              <w:rPr>
                <w:rFonts w:ascii="Calibri" w:hAnsi="Calibri"/>
                <w:sz w:val="22"/>
              </w:rPr>
              <w:t>12 Months</w:t>
            </w:r>
          </w:p>
        </w:tc>
        <w:tc>
          <w:tcPr>
            <w:tcW w:type="dxa" w:w="1440"/>
          </w:tcPr>
          <w:p>
            <w:r>
              <w:rPr>
                <w:rFonts w:ascii="Calibri" w:hAnsi="Calibri"/>
                <w:sz w:val="22"/>
              </w:rPr>
              <w:t>-9.1%</w:t>
            </w:r>
          </w:p>
        </w:tc>
        <w:tc>
          <w:tcPr>
            <w:tcW w:type="dxa" w:w="1440"/>
          </w:tcPr>
          <w:p>
            <w:r>
              <w:rPr>
                <w:rFonts w:ascii="Calibri" w:hAnsi="Calibri"/>
                <w:sz w:val="22"/>
              </w:rPr>
              <w:t>4.83x</w:t>
            </w:r>
          </w:p>
        </w:tc>
        <w:tc>
          <w:tcPr>
            <w:tcW w:type="dxa" w:w="1440"/>
          </w:tcPr>
          <w:p>
            <w:r>
              <w:rPr>
                <w:rFonts w:ascii="Calibri" w:hAnsi="Calibri"/>
                <w:sz w:val="22"/>
              </w:rPr>
              <w:t>4.20x</w:t>
            </w:r>
          </w:p>
        </w:tc>
        <w:tc>
          <w:tcPr>
            <w:tcW w:type="dxa" w:w="1440"/>
          </w:tcPr>
          <w:p>
            <w:r>
              <w:rPr>
                <w:rFonts w:ascii="Calibri" w:hAnsi="Calibri"/>
                <w:sz w:val="22"/>
              </w:rPr>
              <w:t>-12.9%</w:t>
            </w:r>
          </w:p>
        </w:tc>
        <w:tc>
          <w:tcPr>
            <w:tcW w:type="dxa" w:w="1440"/>
          </w:tcPr>
          <w:p>
            <w:r>
              <w:rPr>
                <w:rFonts w:ascii="Calibri" w:hAnsi="Calibri"/>
                <w:sz w:val="22"/>
              </w:rPr>
              <w:t>Multiple compression; estimates partially offsetting</w:t>
            </w:r>
          </w:p>
        </w:tc>
      </w:tr>
    </w:tbl>
    <w:p>
      <w:r>
        <w:rPr>
          <w:rFonts w:ascii="Calibri" w:hAnsi="Calibri"/>
          <w:i/>
          <w:color w:val="525866"/>
          <w:sz w:val="22"/>
        </w:rPr>
        <w:t>Source: Visible Alpha / stock performance decomposition data as of July 27, 2026.</w:t>
      </w:r>
    </w:p>
    <w:p>
      <w:r>
        <w:br w:type="page"/>
      </w:r>
    </w:p>
    <w:p>
      <w:pPr>
        <w:pStyle w:val="Heading2"/>
      </w:pPr>
      <w:r>
        <w:rPr>
          <w:rFonts w:ascii="Calibri" w:hAnsi="Calibri"/>
          <w:b/>
          <w:color w:val="3B4259"/>
          <w:sz w:val="28"/>
        </w:rPr>
        <w:t>6. Material News &amp; Developments (Since Q1 2026 Earnings, Apr 28, 2026)</w:t>
      </w:r>
    </w:p>
    <w:p>
      <w:r>
        <w:rPr>
          <w:rFonts w:ascii="Calibri" w:hAnsi="Calibri"/>
          <w:b/>
          <w:color w:val="525866"/>
          <w:sz w:val="22"/>
        </w:rPr>
        <w:t xml:space="preserve">Key Takeaway: </w:t>
      </w:r>
      <w:r>
        <w:rPr>
          <w:rFonts w:ascii="Calibri" w:hAnsi="Calibri"/>
          <w:color w:val="525866"/>
          <w:sz w:val="22"/>
        </w:rPr>
        <w:t>The most important development is the July 27 Twin Eagle acquisition — a $1.25B deal that transforms EXE into North America's leading integrated natural gas company and raises the marketing FCF target by 50%. This will dominate the Q2 earnings call narrative and is the single biggest catalyst for the stock near-term.</w:t>
      </w:r>
    </w:p>
    <w:p>
      <w:pPr>
        <w:pStyle w:val="ListBullet"/>
        <w:ind w:left="360" w:hanging="360"/>
      </w:pPr>
      <w:r>
        <w:rPr>
          <w:rFonts w:ascii="Calibri" w:hAnsi="Calibri"/>
          <w:b/>
          <w:color w:val="525866"/>
          <w:sz w:val="22"/>
        </w:rPr>
        <w:t>July 27, 2026 — Twin Eagle Acquisition Announced ($1.25B):</w:t>
      </w:r>
      <w:r>
        <w:rPr>
          <w:rFonts w:ascii="Calibri" w:hAnsi="Calibri"/>
          <w:color w:val="525866"/>
          <w:sz w:val="22"/>
        </w:rPr>
        <w:t xml:space="preserve"> EXE announced a definitive agreement to acquire Twin Eagle Holdings N.A., LLC from Five Point Infrastructure for $1.25B (cash + revolver). Twin Eagle markets &gt;5 Bcf/d of natural gas, manages ~44 Bcf of storage and ~2 Bcf/d of firm transportation, and serves &gt;1,000 customers. Pro forma, the combined entity will market ~14 Bcf/d with ~9 Bcf/d of firm transport and 49 Bcf of storage. The deal is expected to contribute &gt;$200M of annual EBITDA and $150M/year of synergies by year-end 2028. EXE raised its marketing incremental FCF target from $500M to $750M/year. Expected to close Q3 2026. </w:t>
      </w:r>
      <w:r>
        <w:rPr>
          <w:rFonts w:ascii="Calibri" w:hAnsi="Calibri"/>
          <w:i/>
          <w:color w:val="525866"/>
          <w:sz w:val="22"/>
        </w:rPr>
        <w:t>Implication: Transformational for the commercial strategy; will be the dominant topic on the Q2 call. Accretion and synergy credibility will be key investor focus.</w:t>
      </w:r>
    </w:p>
    <w:p>
      <w:pPr>
        <w:pStyle w:val="ListBullet"/>
        <w:ind w:left="360" w:hanging="360"/>
      </w:pPr>
      <w:r>
        <w:rPr>
          <w:rFonts w:ascii="Calibri" w:hAnsi="Calibri"/>
          <w:b/>
          <w:color w:val="525866"/>
          <w:sz w:val="22"/>
        </w:rPr>
        <w:t>April 29, 2026 — Delfin LNG SPA Announced:</w:t>
      </w:r>
      <w:r>
        <w:rPr>
          <w:rFonts w:ascii="Calibri" w:hAnsi="Calibri"/>
          <w:color w:val="525866"/>
          <w:sz w:val="22"/>
        </w:rPr>
        <w:t xml:space="preserve"> EXE signed a 1.15 MTPA offtake SPA with Delfin LNG (Vessel 1), replacing a prior Vessel 2 agreement. EXE is negotiating to serve as gas supply manager for the facility. </w:t>
      </w:r>
      <w:r>
        <w:rPr>
          <w:rFonts w:ascii="Calibri" w:hAnsi="Calibri"/>
          <w:i/>
          <w:color w:val="525866"/>
          <w:sz w:val="22"/>
        </w:rPr>
        <w:t>Implication: Foundational LNG contract; validates the commercial strategy and provides exposure to international pricing (JKM/TTF).</w:t>
      </w:r>
    </w:p>
    <w:p>
      <w:pPr>
        <w:pStyle w:val="ListBullet"/>
        <w:ind w:left="360" w:hanging="360"/>
      </w:pPr>
      <w:r>
        <w:rPr>
          <w:rFonts w:ascii="Calibri" w:hAnsi="Calibri"/>
          <w:b/>
          <w:color w:val="525866"/>
          <w:sz w:val="22"/>
        </w:rPr>
        <w:t>June 26, 2026 — VP of Accounting &amp; Controller Resigned; CFO Named Interim Principal Accounting Officer:</w:t>
      </w:r>
      <w:r>
        <w:rPr>
          <w:rFonts w:ascii="Calibri" w:hAnsi="Calibri"/>
          <w:color w:val="525866"/>
          <w:sz w:val="22"/>
        </w:rPr>
        <w:t xml:space="preserve"> Marcel Teunissen (EVP &amp; CFO) was named Interim Principal Accounting Officer following the resignation of the VP of Accounting &amp; Controller. </w:t>
      </w:r>
      <w:r>
        <w:rPr>
          <w:rFonts w:ascii="Calibri" w:hAnsi="Calibri"/>
          <w:i/>
          <w:color w:val="525866"/>
          <w:sz w:val="22"/>
        </w:rPr>
        <w:t>Implication: Minor organizational disruption; CEO search still ongoing. Teunissen's dual role adds workload but is manageable near-term.</w:t>
      </w:r>
    </w:p>
    <w:p>
      <w:pPr>
        <w:pStyle w:val="ListBullet"/>
        <w:ind w:left="360" w:hanging="360"/>
      </w:pPr>
      <w:r>
        <w:rPr>
          <w:rFonts w:ascii="Calibri" w:hAnsi="Calibri"/>
          <w:b/>
          <w:color w:val="525866"/>
          <w:sz w:val="22"/>
        </w:rPr>
        <w:t>July 2026 — Middle East Geopolitical Escalation (U.S.-Iran Conflict):</w:t>
      </w:r>
      <w:r>
        <w:rPr>
          <w:rFonts w:ascii="Calibri" w:hAnsi="Calibri"/>
          <w:color w:val="525866"/>
          <w:sz w:val="22"/>
        </w:rPr>
        <w:t xml:space="preserve"> Ongoing U.S.-Iran hostilities have disrupted Strait of Hormuz shipping (traffic down ~66% in the week through July 20), pushed Brent crude above $100/bbl briefly, and elevated global LNG spot prices (international spot &gt;$17/MMBtu per EQT commentary). </w:t>
      </w:r>
      <w:r>
        <w:rPr>
          <w:rFonts w:ascii="Calibri" w:hAnsi="Calibri"/>
          <w:i/>
          <w:color w:val="525866"/>
          <w:sz w:val="22"/>
        </w:rPr>
        <w:t>Implication: Positive for EXE's LNG strategy and international pricing exposure; also supportive of domestic natural gas demand and pricing. Henry Hub has remained relatively insulated due to record domestic output and storage levels.</w:t>
      </w:r>
    </w:p>
    <w:p>
      <w:pPr>
        <w:pStyle w:val="ListBullet"/>
        <w:ind w:left="360" w:hanging="360"/>
      </w:pPr>
      <w:r>
        <w:rPr>
          <w:rFonts w:ascii="Calibri" w:hAnsi="Calibri"/>
          <w:b/>
          <w:color w:val="525866"/>
          <w:sz w:val="22"/>
        </w:rPr>
        <w:t>July 22, 2026 — Kinder Morgan Q2 Beat:</w:t>
      </w:r>
      <w:r>
        <w:rPr>
          <w:rFonts w:ascii="Calibri" w:hAnsi="Calibri"/>
          <w:color w:val="525866"/>
          <w:sz w:val="22"/>
        </w:rPr>
        <w:t xml:space="preserve"> KMI reported Q2 adjusted EPS of $0.37 vs. $0.32 consensus, aided by record natural gas transport volumes (47,886 BBtu/d vs. 44,818 BBtu/d YoY) driven by LNG exports and AI/data center demand. </w:t>
      </w:r>
      <w:r>
        <w:rPr>
          <w:rFonts w:ascii="Calibri" w:hAnsi="Calibri"/>
          <w:i/>
          <w:color w:val="525866"/>
          <w:sz w:val="22"/>
        </w:rPr>
        <w:t>Implication: Positive read-through for natural gas demand and transport volumes; supports EXE's demand thesis.</w:t>
      </w:r>
    </w:p>
    <w:p>
      <w:pPr>
        <w:pStyle w:val="ListBullet"/>
        <w:ind w:left="360" w:hanging="360"/>
      </w:pPr>
      <w:r>
        <w:rPr>
          <w:rFonts w:ascii="Calibri" w:hAnsi="Calibri"/>
          <w:b/>
          <w:color w:val="525866"/>
          <w:sz w:val="22"/>
        </w:rPr>
        <w:t>July 24, 2026 — SLB Q2 Beat:</w:t>
      </w:r>
      <w:r>
        <w:rPr>
          <w:rFonts w:ascii="Calibri" w:hAnsi="Calibri"/>
          <w:color w:val="525866"/>
          <w:sz w:val="22"/>
        </w:rPr>
        <w:t xml:space="preserve"> SLB reported Q2 EPS of $0.55 vs. $0.51 consensus on revenue of $8.97B vs. $8.67B expected, with broad international growth offsetting Middle East disruptions. </w:t>
      </w:r>
      <w:r>
        <w:rPr>
          <w:rFonts w:ascii="Calibri" w:hAnsi="Calibri"/>
          <w:i/>
          <w:color w:val="525866"/>
          <w:sz w:val="22"/>
        </w:rPr>
        <w:t>Implication: Oilfield services cost environment remains manageable; no significant cost inflation signal for E&amp;P operators.</w:t>
      </w:r>
    </w:p>
    <w:p>
      <w:pPr>
        <w:pStyle w:val="ListBullet"/>
        <w:ind w:left="360" w:hanging="360"/>
      </w:pPr>
      <w:r>
        <w:rPr>
          <w:rFonts w:ascii="Calibri" w:hAnsi="Calibri"/>
          <w:b/>
          <w:color w:val="525866"/>
          <w:sz w:val="22"/>
        </w:rPr>
        <w:t>July 27, 2026 — Baker Hughes Q2 Beat + Raised Guidance:</w:t>
      </w:r>
      <w:r>
        <w:rPr>
          <w:rFonts w:ascii="Calibri" w:hAnsi="Calibri"/>
          <w:color w:val="525866"/>
          <w:sz w:val="22"/>
        </w:rPr>
        <w:t xml:space="preserve"> BKR reported Q2 EPS of $0.64 vs. $0.50 consensus; IET orders of $7.1B vs. $3.6B expected (book-to-bill 1.57x). Received major LNG train order from Venture Global for CP2 expansion. Raised IET guidance through 2028. </w:t>
      </w:r>
      <w:r>
        <w:rPr>
          <w:rFonts w:ascii="Calibri" w:hAnsi="Calibri"/>
          <w:i/>
          <w:color w:val="525866"/>
          <w:sz w:val="22"/>
        </w:rPr>
        <w:t>Implication: Surging LNG equipment orders confirm accelerating LNG buildout — directly supportive of EXE's LNG offtake strategy and demand outlook.</w:t>
      </w:r>
    </w:p>
    <w:p>
      <w:pPr>
        <w:pStyle w:val="ListBullet"/>
        <w:ind w:left="360" w:hanging="360"/>
      </w:pPr>
      <w:r>
        <w:rPr>
          <w:rFonts w:ascii="Calibri" w:hAnsi="Calibri"/>
          <w:b/>
          <w:color w:val="525866"/>
          <w:sz w:val="22"/>
        </w:rPr>
        <w:t>July 21, 2026 — EQT Q2 Miss on EPS:</w:t>
      </w:r>
      <w:r>
        <w:rPr>
          <w:rFonts w:ascii="Calibri" w:hAnsi="Calibri"/>
          <w:color w:val="525866"/>
          <w:sz w:val="22"/>
        </w:rPr>
        <w:t xml:space="preserve"> EQT reported Q2 adjusted EPS of $0.39 vs. $0.40 consensus, hurt by weaker Henry Hub prices (HH averaged $3.02/MMBtu in Q2, down 17.5% YoY). </w:t>
      </w:r>
      <w:r>
        <w:rPr>
          <w:rFonts w:ascii="Calibri" w:hAnsi="Calibri"/>
          <w:i/>
          <w:color w:val="525866"/>
          <w:sz w:val="22"/>
        </w:rPr>
        <w:t>Implication: Mild negative read-through for EXE's gas price realizations in Q2; however, EXE's hedging and marketing gains may offset.</w:t>
      </w:r>
    </w:p>
    <w:p>
      <w:r>
        <w:br w:type="page"/>
      </w:r>
    </w:p>
    <w:p>
      <w:pPr>
        <w:pStyle w:val="Heading2"/>
      </w:pPr>
      <w:r>
        <w:rPr>
          <w:rFonts w:ascii="Calibri" w:hAnsi="Calibri"/>
          <w:b/>
          <w:color w:val="3B4259"/>
          <w:sz w:val="28"/>
        </w:rPr>
        <w:t>7. Peer Read-Through Commentary (Last 60 Days — Forward-Looking / Current-Period Only)</w:t>
      </w:r>
    </w:p>
    <w:p>
      <w:r>
        <w:rPr>
          <w:rFonts w:ascii="Calibri" w:hAnsi="Calibri"/>
          <w:b/>
          <w:color w:val="525866"/>
          <w:sz w:val="22"/>
        </w:rPr>
        <w:t xml:space="preserve">Key Takeaway: </w:t>
      </w:r>
      <w:r>
        <w:rPr>
          <w:rFonts w:ascii="Calibri" w:hAnsi="Calibri"/>
          <w:color w:val="525866"/>
          <w:sz w:val="22"/>
        </w:rPr>
        <w:t>Peer commentary from Q2 2026 earnings calls and recent filings is broadly constructive for EXE: LNG demand is accelerating faster than expected (EQT, RRC, BKR), Appalachian basis is strengthening, and the natural gas supply-demand balance is tightening into 2027–2028. The one near-term caution is that Henry Hub averaged ~$3.02/MMBtu in Q2 (EQT commentary), which is below EXE’s $3.50–$4.00 plan price — making marketing gains and hedging execution the key swing factors for the Q2 print.</w:t>
      </w:r>
    </w:p>
    <w:p>
      <w:r>
        <w:rPr>
          <w:rFonts w:ascii="Calibri" w:hAnsi="Calibri"/>
          <w:b/>
          <w:color w:val="525866"/>
          <w:sz w:val="22"/>
        </w:rPr>
        <w:t xml:space="preserve">Note: </w:t>
      </w:r>
      <w:r>
        <w:rPr>
          <w:rFonts w:ascii="Calibri" w:hAnsi="Calibri"/>
          <w:i/>
          <w:color w:val="525866"/>
          <w:sz w:val="22"/>
        </w:rPr>
        <w:t>Only forward-looking commentary about Q2 2026 or future periods is included below. Backward-looking Q2 result discussions from peers are excluded per the user's instruction.</w:t>
      </w:r>
    </w:p>
    <w:p>
      <w:pPr>
        <w:pStyle w:val="Heading3"/>
      </w:pPr>
      <w:r>
        <w:rPr>
          <w:rFonts w:ascii="Calibri" w:hAnsi="Calibri"/>
          <w:b/>
          <w:color w:val="3B4259"/>
          <w:sz w:val="24"/>
        </w:rPr>
        <w:t>EQT Corporation (EQT) — Q2 2026 Earnings Call (July 22, 2026)</w:t>
      </w:r>
    </w:p>
    <w:p>
      <w:r>
        <w:rPr>
          <w:rFonts w:ascii="Calibri" w:hAnsi="Calibri"/>
          <w:b/>
          <w:color w:val="525866"/>
          <w:sz w:val="22"/>
        </w:rPr>
        <w:t xml:space="preserve">Relevance to EXE: </w:t>
      </w:r>
      <w:r>
        <w:rPr>
          <w:rFonts w:ascii="Calibri" w:hAnsi="Calibri"/>
          <w:color w:val="525866"/>
          <w:sz w:val="22"/>
        </w:rPr>
        <w:t>EQT is EXE's closest Appalachian peer and the second-largest U.S. natural gas producer. Its forward commentary on LNG demand, Appalachian basis, production growth, and capital allocation is highly relevant.</w:t>
      </w:r>
    </w:p>
    <w:p>
      <w:pPr>
        <w:pStyle w:val="ListBullet"/>
        <w:ind w:left="360" w:hanging="360"/>
      </w:pPr>
      <w:r>
        <w:rPr>
          <w:rFonts w:ascii="Calibri" w:hAnsi="Calibri"/>
          <w:b/>
          <w:color w:val="525866"/>
          <w:sz w:val="22"/>
        </w:rPr>
        <w:t>LNG Demand Acceleration (Positive Read-Through):</w:t>
      </w:r>
      <w:r>
        <w:rPr>
          <w:rFonts w:ascii="Calibri" w:hAnsi="Calibri"/>
          <w:color w:val="525866"/>
          <w:sz w:val="22"/>
        </w:rPr>
        <w:t xml:space="preserve"> EQT executed a 5-year LNG offtake agreement for ~0.5 MTPA from Gulf Coast facilities starting 2028, and noted that the pre-Iran-war expectation of 2028–2029 LNG oversupply has "gone away" — international spot prices are now "north of $17" and the Henry Hub-TTF spread has lifted over $2 since pre-war. EQT expects to announce "at least one more, maybe more" new power deals before year-end, potentially "very large ones." </w:t>
      </w:r>
      <w:r>
        <w:rPr>
          <w:rFonts w:ascii="Calibri" w:hAnsi="Calibri"/>
          <w:i/>
          <w:color w:val="525866"/>
          <w:sz w:val="22"/>
        </w:rPr>
        <w:t>EXE read-through: Validates EXE's LNG strategy and Delfin SPA; the tightening global LNG market improves the economics of EXE's offtake agreements and marketing platform.</w:t>
      </w:r>
    </w:p>
    <w:p>
      <w:pPr>
        <w:pStyle w:val="ListBullet"/>
        <w:ind w:left="360" w:hanging="360"/>
      </w:pPr>
      <w:r>
        <w:rPr>
          <w:rFonts w:ascii="Calibri" w:hAnsi="Calibri"/>
          <w:b/>
          <w:color w:val="525866"/>
          <w:sz w:val="22"/>
        </w:rPr>
        <w:t>Appalachian Demand Wave — 45+ Projects Under Construction/Evaluation (Positive):</w:t>
      </w:r>
      <w:r>
        <w:rPr>
          <w:rFonts w:ascii="Calibri" w:hAnsi="Calibri"/>
          <w:color w:val="525866"/>
          <w:sz w:val="22"/>
        </w:rPr>
        <w:t xml:space="preserve"> EQT identified over 45 Appalachian demand and pipeline takeaway projects totaling nearly 20 Bcf/d of potential demand. Even a fraction of these projects is expected to "significantly strengthen in-basin supply-demand fundamentals." EQT estimates a "high single digit Bcf/d of growth" (~40% of total potential) is realistic. Key projects to watch: large Clarington/Ohio market projects (Borealis, Ports facility) that could add "multiple Bcf/d of additional demand" with potential movement before year-end. </w:t>
      </w:r>
      <w:r>
        <w:rPr>
          <w:rFonts w:ascii="Calibri" w:hAnsi="Calibri"/>
          <w:i/>
          <w:color w:val="525866"/>
          <w:sz w:val="22"/>
        </w:rPr>
        <w:t>EXE read-through: Directly supportive of EXE's Haynesville and Appalachian production value; strengthening basis differentials benefit EXE's realizations.</w:t>
      </w:r>
    </w:p>
    <w:p>
      <w:pPr>
        <w:pStyle w:val="ListBullet"/>
        <w:ind w:left="360" w:hanging="360"/>
      </w:pPr>
      <w:r>
        <w:rPr>
          <w:rFonts w:ascii="Calibri" w:hAnsi="Calibri"/>
          <w:b/>
          <w:color w:val="525866"/>
          <w:sz w:val="22"/>
        </w:rPr>
        <w:t>MVP Southgate Acceleration (Positive):</w:t>
      </w:r>
      <w:r>
        <w:rPr>
          <w:rFonts w:ascii="Calibri" w:hAnsi="Calibri"/>
          <w:color w:val="525866"/>
          <w:sz w:val="22"/>
        </w:rPr>
        <w:t xml:space="preserve"> EQT received FERC authorization and accelerated MVP Southgate construction into 2026, with the project expected to be available by year-end. EQT described Zone 5 (accessible via MVP Southgate) as "one of the most lucrative" markets in the continental U.S. due to LNG demand pull south via Transco. </w:t>
      </w:r>
      <w:r>
        <w:rPr>
          <w:rFonts w:ascii="Calibri" w:hAnsi="Calibri"/>
          <w:i/>
          <w:color w:val="525866"/>
          <w:sz w:val="22"/>
        </w:rPr>
        <w:t>EXE read-through: New takeaway capacity into premium markets benefits all Appalachian producers including EXE; supports the basis strengthening thesis.</w:t>
      </w:r>
    </w:p>
    <w:p>
      <w:pPr>
        <w:pStyle w:val="ListBullet"/>
        <w:ind w:left="360" w:hanging="360"/>
      </w:pPr>
      <w:r>
        <w:rPr>
          <w:rFonts w:ascii="Calibri" w:hAnsi="Calibri"/>
          <w:b/>
          <w:color w:val="525866"/>
          <w:sz w:val="22"/>
        </w:rPr>
        <w:t>Production Guidance Raised +90 Bcf; CapEx Lowered $25M (Positive for Sector Efficiency):</w:t>
      </w:r>
      <w:r>
        <w:rPr>
          <w:rFonts w:ascii="Calibri" w:hAnsi="Calibri"/>
          <w:color w:val="525866"/>
          <w:sz w:val="22"/>
        </w:rPr>
        <w:t xml:space="preserve"> EQT raised 2026 production guidance by ~90 Bcf at the midpoint while simultaneously lowering full-year CapEx by $25M, driven by better-than-expected midstream compression project results that are "extending flat times on new wells and shallowing base declines." EQT noted these results have "blown away" original expectations and are prompting a recalibration of hydraulic models. </w:t>
      </w:r>
      <w:r>
        <w:rPr>
          <w:rFonts w:ascii="Calibri" w:hAnsi="Calibri"/>
          <w:i/>
          <w:color w:val="525866"/>
          <w:sz w:val="22"/>
        </w:rPr>
        <w:t>EXE read-through: Confirms that Appalachian operators are achieving capital efficiency gains; EXE's own synergy outperformance is consistent with this sector-wide trend.</w:t>
      </w:r>
    </w:p>
    <w:p>
      <w:pPr>
        <w:pStyle w:val="ListBullet"/>
        <w:ind w:left="360" w:hanging="360"/>
      </w:pPr>
      <w:r>
        <w:rPr>
          <w:rFonts w:ascii="Calibri" w:hAnsi="Calibri"/>
          <w:b/>
          <w:color w:val="525866"/>
          <w:sz w:val="22"/>
        </w:rPr>
        <w:t>Near-Term Gas Price Risks Acknowledged (Mild Negative):</w:t>
      </w:r>
      <w:r>
        <w:rPr>
          <w:rFonts w:ascii="Calibri" w:hAnsi="Calibri"/>
          <w:color w:val="525866"/>
          <w:sz w:val="22"/>
        </w:rPr>
        <w:t xml:space="preserve"> EQT noted near-term risks from "Permian growth potential and super El Nino weather patterns" and has focused hedging on next summer where weakness is expected. However, EQT does not expect to add significant hedging at current strip pricing as they "don't think there's a lot more downside to come." </w:t>
      </w:r>
      <w:r>
        <w:rPr>
          <w:rFonts w:ascii="Calibri" w:hAnsi="Calibri"/>
          <w:i/>
          <w:color w:val="525866"/>
          <w:sz w:val="22"/>
        </w:rPr>
        <w:t>EXE read-through: Near-term Henry Hub softness is a known risk; EXE's hedging book and marketing gains are the key offsets.</w:t>
      </w:r>
    </w:p>
    <w:p>
      <w:pPr>
        <w:pStyle w:val="ListBullet"/>
        <w:ind w:left="360" w:hanging="360"/>
      </w:pPr>
      <w:r>
        <w:rPr>
          <w:rFonts w:ascii="Calibri" w:hAnsi="Calibri"/>
          <w:b/>
          <w:color w:val="525866"/>
          <w:sz w:val="22"/>
        </w:rPr>
        <w:t>Blackline Midstream Acquisition ($77M) — Propane Storage/Distribution (Informational):</w:t>
      </w:r>
      <w:r>
        <w:rPr>
          <w:rFonts w:ascii="Calibri" w:hAnsi="Calibri"/>
          <w:color w:val="525866"/>
          <w:sz w:val="22"/>
        </w:rPr>
        <w:t xml:space="preserve"> EQT acquired Blackline Midstream (46M gallons of New England propane storage capacity) for ~$77M, projecting a 20% FCF yield. EQT is also considering investing in midstream infrastructure to improve full-cycle economics. </w:t>
      </w:r>
      <w:r>
        <w:rPr>
          <w:rFonts w:ascii="Calibri" w:hAnsi="Calibri"/>
          <w:i/>
          <w:color w:val="525866"/>
          <w:sz w:val="22"/>
        </w:rPr>
        <w:t>EXE read-through: Peers are increasingly moving downstream to capture more of the value chain — consistent with EXE's Twin Eagle acquisition strategy.</w:t>
      </w:r>
    </w:p>
    <w:p>
      <w:pPr>
        <w:pStyle w:val="Heading3"/>
      </w:pPr>
      <w:r>
        <w:rPr>
          <w:rFonts w:ascii="Calibri" w:hAnsi="Calibri"/>
          <w:b/>
          <w:color w:val="3B4259"/>
          <w:sz w:val="24"/>
        </w:rPr>
        <w:t>Range Resources (RRC) — Q2 2026 Earnings Call (July 22, 2026)</w:t>
      </w:r>
    </w:p>
    <w:p>
      <w:r>
        <w:rPr>
          <w:rFonts w:ascii="Calibri" w:hAnsi="Calibri"/>
          <w:b/>
          <w:color w:val="525866"/>
          <w:sz w:val="22"/>
        </w:rPr>
        <w:t xml:space="preserve">Relevance to EXE: </w:t>
      </w:r>
      <w:r>
        <w:rPr>
          <w:rFonts w:ascii="Calibri" w:hAnsi="Calibri"/>
          <w:color w:val="525866"/>
          <w:sz w:val="22"/>
        </w:rPr>
        <w:t>RRC is a major Appalachian producer with significant NGL exposure. Its forward commentary on production ramp, NGL markets, and LNG demand is relevant to EXE's Marcellus operations.</w:t>
      </w:r>
    </w:p>
    <w:p>
      <w:pPr>
        <w:pStyle w:val="ListBullet"/>
        <w:ind w:left="360" w:hanging="360"/>
      </w:pPr>
      <w:r>
        <w:rPr>
          <w:rFonts w:ascii="Calibri" w:hAnsi="Calibri"/>
          <w:b/>
          <w:color w:val="525866"/>
          <w:sz w:val="22"/>
        </w:rPr>
        <w:t>Production Ramp Accelerating into H2 2026 (Positive for Sector):</w:t>
      </w:r>
      <w:r>
        <w:rPr>
          <w:rFonts w:ascii="Calibri" w:hAnsi="Calibri"/>
          <w:color w:val="525866"/>
          <w:sz w:val="22"/>
        </w:rPr>
        <w:t xml:space="preserve"> RRC expects production to "continue to rapidly increase across the remainder of the year," targeting 2.5 Bcf equivalent/day by year-end (vs. 2.3 Bcf/d in Q2), underpinned by new gas processing and compression infrastructure entering service. Meaningful incremental volumes expected to flow through by August. 2027 target remains 2.6 Bcf equivalent/day. </w:t>
      </w:r>
      <w:r>
        <w:rPr>
          <w:rFonts w:ascii="Calibri" w:hAnsi="Calibri"/>
          <w:i/>
          <w:color w:val="525866"/>
          <w:sz w:val="22"/>
        </w:rPr>
        <w:t>EXE read-through: Confirms Appalachian infrastructure buildout is on track; increasing regional supply could pressure local basis, but new takeaway capacity (MVP Southgate, etc.) is expected to absorb volumes.</w:t>
      </w:r>
    </w:p>
    <w:p>
      <w:pPr>
        <w:pStyle w:val="ListBullet"/>
        <w:ind w:left="360" w:hanging="360"/>
      </w:pPr>
      <w:r>
        <w:rPr>
          <w:rFonts w:ascii="Calibri" w:hAnsi="Calibri"/>
          <w:b/>
          <w:color w:val="525866"/>
          <w:sz w:val="22"/>
        </w:rPr>
        <w:t>NGL Market Fundamentals Strengthening (Positive):</w:t>
      </w:r>
      <w:r>
        <w:rPr>
          <w:rFonts w:ascii="Calibri" w:hAnsi="Calibri"/>
          <w:color w:val="525866"/>
          <w:sz w:val="22"/>
        </w:rPr>
        <w:t xml:space="preserve"> RRC improved full-year NGL guidance to $2.50/bbl over Mont Belvieu index and expects to "capture premiums to Mont Belvieu in coming quarters." LPG dock capacity expansion (360,000 bbl/d) has reduced the propane build rate by 57% vs. last year and 40% vs. the 5-year average. Long-term propane demand growth projected at ~1M bbl/d incremental through 2030; ethane demand to add another 750,000 bbl/d by decade-end. </w:t>
      </w:r>
      <w:r>
        <w:rPr>
          <w:rFonts w:ascii="Calibri" w:hAnsi="Calibri"/>
          <w:i/>
          <w:color w:val="525866"/>
          <w:sz w:val="22"/>
        </w:rPr>
        <w:t>EXE read-through: EXE has NGL production exposure; strengthening NGL markets support realizations and free cash flow.</w:t>
      </w:r>
    </w:p>
    <w:p>
      <w:pPr>
        <w:pStyle w:val="ListBullet"/>
        <w:ind w:left="360" w:hanging="360"/>
      </w:pPr>
      <w:r>
        <w:rPr>
          <w:rFonts w:ascii="Calibri" w:hAnsi="Calibri"/>
          <w:b/>
          <w:color w:val="525866"/>
          <w:sz w:val="22"/>
        </w:rPr>
        <w:t>LNG Feed Gas Demand Growing (Positive):</w:t>
      </w:r>
      <w:r>
        <w:rPr>
          <w:rFonts w:ascii="Calibri" w:hAnsi="Calibri"/>
          <w:color w:val="525866"/>
          <w:sz w:val="22"/>
        </w:rPr>
        <w:t xml:space="preserve"> LNG feed gas averaged over 17 Bcf/d in Q2 (up 17% YoY) and RRC expects this momentum to be "carried forward into 2027 and beyond." RRC's internal view is that year-end storage reaches 3.9 TCF (38 days of supply, 2 days less than last year), suggesting "more volatility" in gas prices. LNG demand projected to reach 20 Bcf/d by end of 2027. </w:t>
      </w:r>
      <w:r>
        <w:rPr>
          <w:rFonts w:ascii="Calibri" w:hAnsi="Calibri"/>
          <w:i/>
          <w:color w:val="525866"/>
          <w:sz w:val="22"/>
        </w:rPr>
        <w:t>EXE read-through: Accelerating LNG demand directly supports EXE's Haynesville production (proximate to Gulf Coast LNG facilities) and validates the Delfin SPA and Twin Eagle marketing platform.</w:t>
      </w:r>
    </w:p>
    <w:p>
      <w:pPr>
        <w:pStyle w:val="ListBullet"/>
        <w:ind w:left="360" w:hanging="360"/>
      </w:pPr>
      <w:r>
        <w:rPr>
          <w:rFonts w:ascii="Calibri" w:hAnsi="Calibri"/>
          <w:b/>
          <w:color w:val="525866"/>
          <w:sz w:val="22"/>
        </w:rPr>
        <w:t>Capital Efficiency — Q4 Activity Moderating (Informational):</w:t>
      </w:r>
      <w:r>
        <w:rPr>
          <w:rFonts w:ascii="Calibri" w:hAnsi="Calibri"/>
          <w:color w:val="525866"/>
          <w:sz w:val="22"/>
        </w:rPr>
        <w:t xml:space="preserve"> RRC plans to return to a single horizontal rig and single frac crew in Q4, with Q3 CapEx similar to Q1/Q2 and Q4 CapEx declining. Long-term, RRC estimates it can maintain 2.6 Bcf/d for less than $600M of annual D&amp;C capital (~$0.60/Mcf). </w:t>
      </w:r>
      <w:r>
        <w:rPr>
          <w:rFonts w:ascii="Calibri" w:hAnsi="Calibri"/>
          <w:i/>
          <w:color w:val="525866"/>
          <w:sz w:val="22"/>
        </w:rPr>
        <w:t>EXE read-through: Sector-wide capital discipline is intact; no signs of cost inflation from completion activity.</w:t>
      </w:r>
    </w:p>
    <w:p>
      <w:pPr>
        <w:pStyle w:val="ListBullet"/>
        <w:ind w:left="360" w:hanging="360"/>
      </w:pPr>
      <w:r>
        <w:rPr>
          <w:rFonts w:ascii="Calibri" w:hAnsi="Calibri"/>
          <w:b/>
          <w:color w:val="525866"/>
          <w:sz w:val="22"/>
        </w:rPr>
        <w:t>Appalachian Supply Constraint Emerging by End of Decade (Positive Long-Term):</w:t>
      </w:r>
      <w:r>
        <w:rPr>
          <w:rFonts w:ascii="Calibri" w:hAnsi="Calibri"/>
          <w:color w:val="525866"/>
          <w:sz w:val="22"/>
        </w:rPr>
        <w:t xml:space="preserve"> RRC projects that ~1/3 of Appalachian basin supply (particularly Southwest Appalachia) will "struggle to hold flat" by end of decade due to inventory limitations. This creates an inflection point where demand pulls gas and operators with falling cost structures (like EXE) see "significant margin enhancement." </w:t>
      </w:r>
      <w:r>
        <w:rPr>
          <w:rFonts w:ascii="Calibri" w:hAnsi="Calibri"/>
          <w:i/>
          <w:color w:val="525866"/>
          <w:sz w:val="22"/>
        </w:rPr>
        <w:t>EXE read-through: EXE's scale, cost leadership, and inventory depth position it to be a primary beneficiary of this structural tightening.</w:t>
      </w:r>
    </w:p>
    <w:p>
      <w:pPr>
        <w:pStyle w:val="Heading3"/>
      </w:pPr>
      <w:r>
        <w:rPr>
          <w:rFonts w:ascii="Calibri" w:hAnsi="Calibri"/>
          <w:b/>
          <w:color w:val="3B4259"/>
          <w:sz w:val="24"/>
        </w:rPr>
        <w:t>Baker Hughes (BKR) — Q2 2026 Earnings (July 27, 2026)</w:t>
      </w:r>
    </w:p>
    <w:p>
      <w:r>
        <w:rPr>
          <w:rFonts w:ascii="Calibri" w:hAnsi="Calibri"/>
          <w:b/>
          <w:color w:val="525866"/>
          <w:sz w:val="22"/>
        </w:rPr>
        <w:t xml:space="preserve">Relevance to EXE: </w:t>
      </w:r>
      <w:r>
        <w:rPr>
          <w:rFonts w:ascii="Calibri" w:hAnsi="Calibri"/>
          <w:color w:val="525866"/>
          <w:sz w:val="22"/>
        </w:rPr>
        <w:t>BKR is a leading LNG equipment and services provider. Its order book and guidance are a leading indicator for LNG buildout pace.</w:t>
      </w:r>
    </w:p>
    <w:p>
      <w:pPr>
        <w:pStyle w:val="ListBullet"/>
        <w:ind w:left="360" w:hanging="360"/>
      </w:pPr>
      <w:r>
        <w:rPr>
          <w:rFonts w:ascii="Calibri" w:hAnsi="Calibri"/>
          <w:b/>
          <w:color w:val="525866"/>
          <w:sz w:val="22"/>
        </w:rPr>
        <w:t>Record LNG Equipment Orders — IET Orders $7.1B vs. $3.6B Expected (Strongly Positive):</w:t>
      </w:r>
      <w:r>
        <w:rPr>
          <w:rFonts w:ascii="Calibri" w:hAnsi="Calibri"/>
          <w:color w:val="525866"/>
          <w:sz w:val="22"/>
        </w:rPr>
        <w:t xml:space="preserve"> BKR's IET (Industrial &amp; Energy Technology) orders doubled YoY to a record $7.1B in Q2, with a book-to-bill of 1.57x. BKR received a major order from Venture Global to manufacture 12 LNG trains for the CP2 expansion. BKR raised IET order guidance through 2028 and expanded gas turbine/generator capacity expected online by 2029, supporting "nearly $5B in annual power systems revenue opportunity." </w:t>
      </w:r>
      <w:r>
        <w:rPr>
          <w:rFonts w:ascii="Calibri" w:hAnsi="Calibri"/>
          <w:i/>
          <w:color w:val="525866"/>
          <w:sz w:val="22"/>
        </w:rPr>
        <w:t>EXE read-through: Surging LNG equipment orders confirm the LNG buildout is accelerating well beyond consensus expectations — directly supportive of EXE's LNG offtake strategy, Delfin SPA, and the rationale for the Twin Eagle acquisition.</w:t>
      </w:r>
    </w:p>
    <w:p>
      <w:pPr>
        <w:pStyle w:val="ListBullet"/>
        <w:ind w:left="360" w:hanging="360"/>
      </w:pPr>
      <w:r>
        <w:rPr>
          <w:rFonts w:ascii="Calibri" w:hAnsi="Calibri"/>
          <w:b/>
          <w:color w:val="525866"/>
          <w:sz w:val="22"/>
        </w:rPr>
        <w:t>Global LNG Demand Outlook Raised Through 2028 (Positive):</w:t>
      </w:r>
      <w:r>
        <w:rPr>
          <w:rFonts w:ascii="Calibri" w:hAnsi="Calibri"/>
          <w:color w:val="525866"/>
          <w:sz w:val="22"/>
        </w:rPr>
        <w:t xml:space="preserve"> BKR raised full-year IET guidance and boosted orders through 2028 amid "increasing demand." The Middle East conflict had a lower-than-expected impact on margins and revenue (per Citi and Piper Sandler commentary). </w:t>
      </w:r>
      <w:r>
        <w:rPr>
          <w:rFonts w:ascii="Calibri" w:hAnsi="Calibri"/>
          <w:i/>
          <w:color w:val="525866"/>
          <w:sz w:val="22"/>
        </w:rPr>
        <w:t>EXE read-through: The LNG demand environment is stronger than feared; EXE's commercial strategy is well-timed.</w:t>
      </w:r>
    </w:p>
    <w:p>
      <w:pPr>
        <w:pStyle w:val="Heading3"/>
      </w:pPr>
      <w:r>
        <w:rPr>
          <w:rFonts w:ascii="Calibri" w:hAnsi="Calibri"/>
          <w:b/>
          <w:color w:val="3B4259"/>
          <w:sz w:val="24"/>
        </w:rPr>
        <w:t>Kinder Morgan (KMI) — Q2 2026 Earnings (July 22, 2026)</w:t>
      </w:r>
    </w:p>
    <w:p>
      <w:r>
        <w:rPr>
          <w:rFonts w:ascii="Calibri" w:hAnsi="Calibri"/>
          <w:b/>
          <w:color w:val="525866"/>
          <w:sz w:val="22"/>
        </w:rPr>
        <w:t xml:space="preserve">Relevance to EXE: </w:t>
      </w:r>
      <w:r>
        <w:rPr>
          <w:rFonts w:ascii="Calibri" w:hAnsi="Calibri"/>
          <w:color w:val="525866"/>
          <w:sz w:val="22"/>
        </w:rPr>
        <w:t>KMI is the largest natural gas pipeline operator in the U.S. Its volume data is a real-time indicator of natural gas demand trends.</w:t>
      </w:r>
    </w:p>
    <w:p>
      <w:pPr>
        <w:pStyle w:val="ListBullet"/>
        <w:ind w:left="360" w:hanging="360"/>
      </w:pPr>
      <w:r>
        <w:rPr>
          <w:rFonts w:ascii="Calibri" w:hAnsi="Calibri"/>
          <w:b/>
          <w:color w:val="525866"/>
          <w:sz w:val="22"/>
        </w:rPr>
        <w:t>Record Natural Gas Transport Volumes (Positive):</w:t>
      </w:r>
      <w:r>
        <w:rPr>
          <w:rFonts w:ascii="Calibri" w:hAnsi="Calibri"/>
          <w:color w:val="525866"/>
          <w:sz w:val="22"/>
        </w:rPr>
        <w:t xml:space="preserve"> KMI transported 47,886 BBtu/d of natural gas in Q2 (vs. 44,818 BBtu/d in Q2 2025, +6.8% YoY), driven by record LNG exports and surging electricity demand from AI operations, cryptocurrency mining, and data centers. KMI beat Q2 EPS consensus by 16% ($0.37 vs. $0.32). </w:t>
      </w:r>
      <w:r>
        <w:rPr>
          <w:rFonts w:ascii="Calibri" w:hAnsi="Calibri"/>
          <w:i/>
          <w:color w:val="525866"/>
          <w:sz w:val="22"/>
        </w:rPr>
        <w:t>EXE read-through: Confirms that natural gas demand is growing robustly across multiple end markets (LNG, power, data centers) — directly supportive of EXE's production and marketing strategy. The volume growth validates EXE's thesis that demand will absorb incremental supply.</w:t>
      </w:r>
    </w:p>
    <w:p>
      <w:r>
        <w:br w:type="page"/>
      </w:r>
    </w:p>
    <w:p>
      <w:pPr>
        <w:pStyle w:val="Heading2"/>
      </w:pPr>
      <w:r>
        <w:rPr>
          <w:rFonts w:ascii="Calibri" w:hAnsi="Calibri"/>
          <w:b/>
          <w:color w:val="3B4259"/>
          <w:sz w:val="28"/>
        </w:rPr>
        <w:t>8. Insider Transaction Activity (Last 60 Days)</w:t>
      </w:r>
    </w:p>
    <w:p>
      <w:r>
        <w:rPr>
          <w:rFonts w:ascii="Calibri" w:hAnsi="Calibri"/>
          <w:b/>
          <w:color w:val="525866"/>
          <w:sz w:val="22"/>
        </w:rPr>
        <w:t xml:space="preserve">Key Takeaway: </w:t>
      </w:r>
      <w:r>
        <w:rPr>
          <w:rFonts w:ascii="Calibri" w:hAnsi="Calibri"/>
          <w:color w:val="525866"/>
          <w:sz w:val="22"/>
        </w:rPr>
        <w:t>Both the Interim CEO and the newly appointed CFO have made open-market purchases in the $90–$100 stock price range — a constructive signal. The CFO's initial purchase immediately upon joining (May 7) and follow-on purchase (June 4) are particularly notable as discretionary conviction buys, not obligation-driven transactions.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Transaction Date</w:t>
            </w:r>
          </w:p>
        </w:tc>
        <w:tc>
          <w:tcPr>
            <w:tcW w:type="dxa" w:w="1440"/>
          </w:tcPr>
          <w:p>
            <w:r>
              <w:rPr>
                <w:rFonts w:ascii="Calibri" w:hAnsi="Calibri"/>
                <w:b/>
                <w:sz w:val="22"/>
              </w:rPr>
              <w:t>Note</w:t>
            </w:r>
          </w:p>
        </w:tc>
      </w:tr>
      <w:tr>
        <w:tc>
          <w:tcPr>
            <w:tcW w:type="dxa" w:w="1440"/>
          </w:tcPr>
          <w:p>
            <w:r>
              <w:rPr>
                <w:rFonts w:ascii="Calibri" w:hAnsi="Calibri"/>
                <w:sz w:val="22"/>
              </w:rPr>
              <w:t>Michael Wichterich</w:t>
            </w:r>
          </w:p>
        </w:tc>
        <w:tc>
          <w:tcPr>
            <w:tcW w:type="dxa" w:w="1440"/>
          </w:tcPr>
          <w:p>
            <w:r>
              <w:rPr>
                <w:rFonts w:ascii="Calibri" w:hAnsi="Calibri"/>
                <w:sz w:val="22"/>
              </w:rPr>
              <w:t>Interim President &amp; CEO, Director</w:t>
            </w:r>
          </w:p>
        </w:tc>
        <w:tc>
          <w:tcPr>
            <w:tcW w:type="dxa" w:w="1440"/>
          </w:tcPr>
          <w:p>
            <w:r>
              <w:rPr>
                <w:rFonts w:ascii="Calibri" w:hAnsi="Calibri"/>
                <w:sz w:val="22"/>
              </w:rPr>
              <w:t>Open Market Buy</w:t>
            </w:r>
          </w:p>
        </w:tc>
        <w:tc>
          <w:tcPr>
            <w:tcW w:type="dxa" w:w="1440"/>
          </w:tcPr>
          <w:p>
            <w:r>
              <w:rPr>
                <w:rFonts w:ascii="Calibri" w:hAnsi="Calibri"/>
                <w:sz w:val="22"/>
              </w:rPr>
              <w:t>1,000 shares</w:t>
            </w:r>
          </w:p>
        </w:tc>
        <w:tc>
          <w:tcPr>
            <w:tcW w:type="dxa" w:w="1440"/>
          </w:tcPr>
          <w:p>
            <w:r>
              <w:rPr>
                <w:rFonts w:ascii="Calibri" w:hAnsi="Calibri"/>
                <w:sz w:val="22"/>
              </w:rPr>
              <w:t>June 12, 2026</w:t>
            </w:r>
          </w:p>
        </w:tc>
        <w:tc>
          <w:tcPr>
            <w:tcW w:type="dxa" w:w="1440"/>
          </w:tcPr>
          <w:p>
            <w:r>
              <w:rPr>
                <w:rFonts w:ascii="Calibri" w:hAnsi="Calibri"/>
                <w:sz w:val="22"/>
              </w:rPr>
              <w:t>Discretionary; total holdings 85,498 shares post-transaction</w:t>
            </w:r>
          </w:p>
        </w:tc>
      </w:tr>
      <w:tr>
        <w:tc>
          <w:tcPr>
            <w:tcW w:type="dxa" w:w="1440"/>
          </w:tcPr>
          <w:p>
            <w:r>
              <w:rPr>
                <w:rFonts w:ascii="Calibri" w:hAnsi="Calibri"/>
                <w:sz w:val="22"/>
              </w:rPr>
              <w:t>Marcel Teunissen</w:t>
            </w:r>
          </w:p>
        </w:tc>
        <w:tc>
          <w:tcPr>
            <w:tcW w:type="dxa" w:w="1440"/>
          </w:tcPr>
          <w:p>
            <w:r>
              <w:rPr>
                <w:rFonts w:ascii="Calibri" w:hAnsi="Calibri"/>
                <w:sz w:val="22"/>
              </w:rPr>
              <w:t>EVP &amp; CFO</w:t>
            </w:r>
          </w:p>
        </w:tc>
        <w:tc>
          <w:tcPr>
            <w:tcW w:type="dxa" w:w="1440"/>
          </w:tcPr>
          <w:p>
            <w:r>
              <w:rPr>
                <w:rFonts w:ascii="Calibri" w:hAnsi="Calibri"/>
                <w:sz w:val="22"/>
              </w:rPr>
              <w:t>Open Market Buy</w:t>
            </w:r>
          </w:p>
        </w:tc>
        <w:tc>
          <w:tcPr>
            <w:tcW w:type="dxa" w:w="1440"/>
          </w:tcPr>
          <w:p>
            <w:r>
              <w:rPr>
                <w:rFonts w:ascii="Calibri" w:hAnsi="Calibri"/>
                <w:sz w:val="22"/>
              </w:rPr>
              <w:t>2,000 shares</w:t>
            </w:r>
          </w:p>
        </w:tc>
        <w:tc>
          <w:tcPr>
            <w:tcW w:type="dxa" w:w="1440"/>
          </w:tcPr>
          <w:p>
            <w:r>
              <w:rPr>
                <w:rFonts w:ascii="Calibri" w:hAnsi="Calibri"/>
                <w:sz w:val="22"/>
              </w:rPr>
              <w:t>June 4, 2026</w:t>
            </w:r>
          </w:p>
        </w:tc>
        <w:tc>
          <w:tcPr>
            <w:tcW w:type="dxa" w:w="1440"/>
          </w:tcPr>
          <w:p>
            <w:r>
              <w:rPr>
                <w:rFonts w:ascii="Calibri" w:hAnsi="Calibri"/>
                <w:sz w:val="22"/>
              </w:rPr>
              <w:t>Discretionary; total holdings 11,144 shares post-transaction</w:t>
            </w:r>
          </w:p>
        </w:tc>
      </w:tr>
      <w:tr>
        <w:tc>
          <w:tcPr>
            <w:tcW w:type="dxa" w:w="1440"/>
          </w:tcPr>
          <w:p>
            <w:r>
              <w:rPr>
                <w:rFonts w:ascii="Calibri" w:hAnsi="Calibri"/>
                <w:sz w:val="22"/>
              </w:rPr>
              <w:t>Michael Wichterich</w:t>
            </w:r>
          </w:p>
        </w:tc>
        <w:tc>
          <w:tcPr>
            <w:tcW w:type="dxa" w:w="1440"/>
          </w:tcPr>
          <w:p>
            <w:r>
              <w:rPr>
                <w:rFonts w:ascii="Calibri" w:hAnsi="Calibri"/>
                <w:sz w:val="22"/>
              </w:rPr>
              <w:t>Interim President &amp; CEO, Director</w:t>
            </w:r>
          </w:p>
        </w:tc>
        <w:tc>
          <w:tcPr>
            <w:tcW w:type="dxa" w:w="1440"/>
          </w:tcPr>
          <w:p>
            <w:r>
              <w:rPr>
                <w:rFonts w:ascii="Calibri" w:hAnsi="Calibri"/>
                <w:sz w:val="22"/>
              </w:rPr>
              <w:t>Open Market Buy</w:t>
            </w:r>
          </w:p>
        </w:tc>
        <w:tc>
          <w:tcPr>
            <w:tcW w:type="dxa" w:w="1440"/>
          </w:tcPr>
          <w:p>
            <w:r>
              <w:rPr>
                <w:rFonts w:ascii="Calibri" w:hAnsi="Calibri"/>
                <w:sz w:val="22"/>
              </w:rPr>
              <w:t>1,000 shares</w:t>
            </w:r>
          </w:p>
        </w:tc>
        <w:tc>
          <w:tcPr>
            <w:tcW w:type="dxa" w:w="1440"/>
          </w:tcPr>
          <w:p>
            <w:r>
              <w:rPr>
                <w:rFonts w:ascii="Calibri" w:hAnsi="Calibri"/>
                <w:sz w:val="22"/>
              </w:rPr>
              <w:t>June 4, 2026</w:t>
            </w:r>
          </w:p>
        </w:tc>
        <w:tc>
          <w:tcPr>
            <w:tcW w:type="dxa" w:w="1440"/>
          </w:tcPr>
          <w:p>
            <w:r>
              <w:rPr>
                <w:rFonts w:ascii="Calibri" w:hAnsi="Calibri"/>
                <w:sz w:val="22"/>
              </w:rPr>
              <w:t>Discretionary; total holdings 84,498 shares post-transaction</w:t>
            </w:r>
          </w:p>
        </w:tc>
      </w:tr>
      <w:tr>
        <w:tc>
          <w:tcPr>
            <w:tcW w:type="dxa" w:w="1440"/>
          </w:tcPr>
          <w:p>
            <w:r>
              <w:rPr>
                <w:rFonts w:ascii="Calibri" w:hAnsi="Calibri"/>
                <w:sz w:val="22"/>
              </w:rPr>
              <w:t>Marcel Teunissen</w:t>
            </w:r>
          </w:p>
        </w:tc>
        <w:tc>
          <w:tcPr>
            <w:tcW w:type="dxa" w:w="1440"/>
          </w:tcPr>
          <w:p>
            <w:r>
              <w:rPr>
                <w:rFonts w:ascii="Calibri" w:hAnsi="Calibri"/>
                <w:sz w:val="22"/>
              </w:rPr>
              <w:t>EVP &amp; CFO</w:t>
            </w:r>
          </w:p>
        </w:tc>
        <w:tc>
          <w:tcPr>
            <w:tcW w:type="dxa" w:w="1440"/>
          </w:tcPr>
          <w:p>
            <w:r>
              <w:rPr>
                <w:rFonts w:ascii="Calibri" w:hAnsi="Calibri"/>
                <w:sz w:val="22"/>
              </w:rPr>
              <w:t>Open Market Buy</w:t>
            </w:r>
          </w:p>
        </w:tc>
        <w:tc>
          <w:tcPr>
            <w:tcW w:type="dxa" w:w="1440"/>
          </w:tcPr>
          <w:p>
            <w:r>
              <w:rPr>
                <w:rFonts w:ascii="Calibri" w:hAnsi="Calibri"/>
                <w:sz w:val="22"/>
              </w:rPr>
              <w:t>2,000 shares</w:t>
            </w:r>
          </w:p>
        </w:tc>
        <w:tc>
          <w:tcPr>
            <w:tcW w:type="dxa" w:w="1440"/>
          </w:tcPr>
          <w:p>
            <w:r>
              <w:rPr>
                <w:rFonts w:ascii="Calibri" w:hAnsi="Calibri"/>
                <w:sz w:val="22"/>
              </w:rPr>
              <w:t>May 7, 2026</w:t>
            </w:r>
          </w:p>
        </w:tc>
        <w:tc>
          <w:tcPr>
            <w:tcW w:type="dxa" w:w="1440"/>
          </w:tcPr>
          <w:p>
            <w:r>
              <w:rPr>
                <w:rFonts w:ascii="Calibri" w:hAnsi="Calibri"/>
                <w:sz w:val="22"/>
              </w:rPr>
              <w:t>Discretionary; initial purchase upon joining as CFO; total holdings 9,144 shares post-transaction</w:t>
            </w:r>
          </w:p>
        </w:tc>
      </w:tr>
    </w:tbl>
    <w:p>
      <w:r>
        <w:rPr>
          <w:rFonts w:ascii="Calibri" w:hAnsi="Calibri"/>
          <w:i/>
          <w:color w:val="525866"/>
          <w:sz w:val="22"/>
        </w:rPr>
        <w:t>Source: SEC Form 4 filings. All transactions are open-market purchases (transaction code P), discretionary, with no 10b5-1 plan indicated. No insider sales were filed in the period.</w:t>
      </w:r>
    </w:p>
    <w:p>
      <w:r>
        <w:rPr>
          <w:rFonts w:ascii="Calibri" w:hAnsi="Calibri"/>
          <w:b/>
          <w:color w:val="525866"/>
          <w:sz w:val="22"/>
        </w:rPr>
        <w:t xml:space="preserve">Commentary: </w:t>
      </w:r>
      <w:r>
        <w:rPr>
          <w:rFonts w:ascii="Calibri" w:hAnsi="Calibri"/>
          <w:color w:val="525866"/>
          <w:sz w:val="22"/>
        </w:rPr>
        <w:t>The pattern of clustered open-market buys from both the Interim CEO and the new CFO — all discretionary, none obligation-driven — is a meaningful positive signal. Teunissen's initial purchase on his first day as CFO (May 7) and follow-on purchase (June 4) suggest strong personal conviction in the stock at the $90–$100 level. Wichterich's continued buying alongside the CFO reinforces the insider confidence signal. No insider sales were recorded in the period, which is notable given the stock's underperformance.</w:t>
      </w:r>
    </w:p>
    <w:p>
      <w:r>
        <w:br w:type="page"/>
      </w:r>
    </w:p>
    <w:p>
      <w:pPr>
        <w:pStyle w:val="Heading2"/>
      </w:pPr>
      <w:r>
        <w:rPr>
          <w:rFonts w:ascii="Calibri" w:hAnsi="Calibri"/>
          <w:b/>
          <w:color w:val="3B4259"/>
          <w:sz w:val="28"/>
        </w:rPr>
        <w:t>9. Key Risks &amp; Watch Items</w:t>
      </w:r>
    </w:p>
    <w:p>
      <w:r>
        <w:rPr>
          <w:rFonts w:ascii="Calibri" w:hAnsi="Calibri"/>
          <w:b/>
          <w:color w:val="525866"/>
          <w:sz w:val="22"/>
        </w:rPr>
        <w:t xml:space="preserve">Key Takeaway: </w:t>
      </w:r>
      <w:r>
        <w:rPr>
          <w:rFonts w:ascii="Calibri" w:hAnsi="Calibri"/>
          <w:color w:val="525866"/>
          <w:sz w:val="22"/>
        </w:rPr>
        <w:t>The primary risks heading into Q2 are commodity price (Henry Hub below the $3.50–$4.00 plan range in Q2), Twin Eagle integration execution, and the ongoing CEO vacancy. The primary upside surprise would be marketing gains exceeding consensus expectations, as occurred in Q1.</w:t>
      </w:r>
    </w:p>
    <w:p>
      <w:pPr>
        <w:pStyle w:val="ListBullet"/>
        <w:ind w:left="360" w:hanging="360"/>
      </w:pPr>
      <w:r>
        <w:rPr>
          <w:rFonts w:ascii="Calibri" w:hAnsi="Calibri"/>
          <w:b/>
          <w:color w:val="525866"/>
          <w:sz w:val="22"/>
        </w:rPr>
        <w:t>Henry Hub Pricing Below Plan Range:</w:t>
      </w:r>
      <w:r>
        <w:rPr>
          <w:rFonts w:ascii="Calibri" w:hAnsi="Calibri"/>
          <w:color w:val="525866"/>
          <w:sz w:val="22"/>
        </w:rPr>
        <w:t xml:space="preserve"> Henry Hub averaged ~$3.02/MMBtu in Q2 2026 (per EQT commentary), below EXE's $3.50–$4.00 plan price. This is the primary headwind to Q2 EPS and EBITDA. EXE's hedging book and marketing gains are the key offsets — the degree to which these compensate will determine whether EXE beats or misses consensus.</w:t>
      </w:r>
    </w:p>
    <w:p>
      <w:pPr>
        <w:pStyle w:val="ListBullet"/>
        <w:ind w:left="360" w:hanging="360"/>
      </w:pPr>
      <w:r>
        <w:rPr>
          <w:rFonts w:ascii="Calibri" w:hAnsi="Calibri"/>
          <w:b/>
          <w:color w:val="525866"/>
          <w:sz w:val="22"/>
        </w:rPr>
        <w:t>Twin Eagle Acquisition Integration Risk:</w:t>
      </w:r>
      <w:r>
        <w:rPr>
          <w:rFonts w:ascii="Calibri" w:hAnsi="Calibri"/>
          <w:color w:val="525866"/>
          <w:sz w:val="22"/>
        </w:rPr>
        <w:t xml:space="preserve"> The $1.25B Twin Eagle deal is transformational but introduces integration risk. Investors will scrutinize the deal economics, synergy timeline ($150M/year by year-end 2028), and management's ability to execute while the CEO search is ongoing. The deal is funded via cash and revolver, which temporarily increases leverage.</w:t>
      </w:r>
    </w:p>
    <w:p>
      <w:pPr>
        <w:pStyle w:val="ListBullet"/>
        <w:ind w:left="360" w:hanging="360"/>
      </w:pPr>
      <w:r>
        <w:rPr>
          <w:rFonts w:ascii="Calibri" w:hAnsi="Calibri"/>
          <w:b/>
          <w:color w:val="525866"/>
          <w:sz w:val="22"/>
        </w:rPr>
        <w:t>CEO Vacancy:</w:t>
      </w:r>
      <w:r>
        <w:rPr>
          <w:rFonts w:ascii="Calibri" w:hAnsi="Calibri"/>
          <w:color w:val="525866"/>
          <w:sz w:val="22"/>
        </w:rPr>
        <w:t xml:space="preserve"> EXE has been operating under interim CEO Michael Wichterich since the merger. The CEO search is described as "on track" targeting an energy-sector candidate, but the vacancy creates organizational uncertainty, particularly as the company executes a transformational acquisition.</w:t>
      </w:r>
    </w:p>
    <w:p>
      <w:pPr>
        <w:pStyle w:val="ListBullet"/>
        <w:ind w:left="360" w:hanging="360"/>
      </w:pPr>
      <w:r>
        <w:rPr>
          <w:rFonts w:ascii="Calibri" w:hAnsi="Calibri"/>
          <w:b/>
          <w:color w:val="525866"/>
          <w:sz w:val="22"/>
        </w:rPr>
        <w:t>Western Haynesville Appraisal Program:</w:t>
      </w:r>
      <w:r>
        <w:rPr>
          <w:rFonts w:ascii="Calibri" w:hAnsi="Calibri"/>
          <w:color w:val="525866"/>
          <w:sz w:val="22"/>
        </w:rPr>
        <w:t xml:space="preserve"> Early results from the first well are "encouraging" but the program is in its infancy (second well spud in late April). Any disappointing well results or cost overruns could weigh on the long-term production growth narrative.</w:t>
      </w:r>
    </w:p>
    <w:p>
      <w:pPr>
        <w:pStyle w:val="ListBullet"/>
        <w:ind w:left="360" w:hanging="360"/>
      </w:pPr>
      <w:r>
        <w:rPr>
          <w:rFonts w:ascii="Calibri" w:hAnsi="Calibri"/>
          <w:b/>
          <w:color w:val="525866"/>
          <w:sz w:val="22"/>
        </w:rPr>
        <w:t>Natural Gas Price Volatility / Macro:</w:t>
      </w:r>
      <w:r>
        <w:rPr>
          <w:rFonts w:ascii="Calibri" w:hAnsi="Calibri"/>
          <w:color w:val="525866"/>
          <w:sz w:val="22"/>
        </w:rPr>
        <w:t xml:space="preserve"> The Middle East conflict has elevated global energy prices but also introduces uncertainty. A rapid de-escalation (U.S.-Iran ceasefire) could cause a sharp reversal in oil and LNG prices, reducing the near-term tailwind for EXE's marketing strategy. Conversely, further escalation could disrupt LNG supply chains.</w:t>
      </w:r>
    </w:p>
    <w:p>
      <w:pPr>
        <w:pStyle w:val="ListBullet"/>
        <w:ind w:left="360" w:hanging="360"/>
      </w:pPr>
      <w:r>
        <w:rPr>
          <w:rFonts w:ascii="Calibri" w:hAnsi="Calibri"/>
          <w:b/>
          <w:color w:val="525866"/>
          <w:sz w:val="22"/>
        </w:rPr>
        <w:t>Permian Gas Growth / Storage Overhang:</w:t>
      </w:r>
      <w:r>
        <w:rPr>
          <w:rFonts w:ascii="Calibri" w:hAnsi="Calibri"/>
          <w:color w:val="525866"/>
          <w:sz w:val="22"/>
        </w:rPr>
        <w:t xml:space="preserve"> EQT flagged near-term risks from Permian associated gas growth and potential El Nino weather patterns. If storage builds faster than expected into year-end, Henry Hub could remain below EXE's plan range through H2 2026, pressuring the FY2026 EPS consensus of ~$8.51.</w:t>
      </w:r>
    </w:p>
    <w:p>
      <w:pPr>
        <w:pStyle w:val="ListBullet"/>
        <w:ind w:left="360" w:hanging="360"/>
      </w:pPr>
      <w:r>
        <w:rPr>
          <w:rFonts w:ascii="Calibri" w:hAnsi="Calibri"/>
          <w:b/>
          <w:color w:val="525866"/>
          <w:sz w:val="22"/>
        </w:rPr>
        <w:t>Upside Wildcard — Marketing Gains:</w:t>
      </w:r>
      <w:r>
        <w:rPr>
          <w:rFonts w:ascii="Calibri" w:hAnsi="Calibri"/>
          <w:color w:val="525866"/>
          <w:sz w:val="22"/>
        </w:rPr>
        <w:t xml:space="preserve"> EXE generated ~$90M of incremental value from volatility monetization in Q1 alone. If Q2 marketing gains again surprise to the upside (aided by Middle East-driven price volatility), EXE could beat consensus EPS and EBITDA meaningfully, as it did in Q1. The Twin Eagle announcement also raises the long-term marketing FCF target by 50%, which could prompt positive estimate revisions.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