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Extra Space Storage (EXR) before writing the preview. Let me gather recent filings, transcripts, and news.I have price data. Now let me read the most recent earnings materials (Q1 2026 release and call) and Q2 2025 for the year-ago comparison.Let me get the year-ago Q2 2025 release for comparison and check recent news/analyst sentiment.Let me get analyst consensus estimates for the upcoming quarter.I now have a comprehensive picture. Let me write the preview.</w:t>
      </w:r>
    </w:p>
    <w:bookmarkStart w:id="17" w:name="X4b5a17293a2adff4e1083964b34ab977d49aa37"/>
    <w:p>
      <w:pPr>
        <w:pStyle w:val="Heading1"/>
      </w:pPr>
      <w:r>
        <w:t xml:space="preserve">Extra Space Storage (EXR) — Q2 2026 Earnings Preview</w:t>
      </w:r>
    </w:p>
    <w:bookmarkStart w:id="9" w:name="X939936d20cb34b1556c88042906cddf826dbe3d"/>
    <w:p>
      <w:pPr>
        <w:pStyle w:val="Heading3"/>
      </w:pPr>
      <w:r>
        <w:t xml:space="preserve">Report expected after market close Monday, July 27, 2026 · 2026Q2 Earnings Call</w:t>
      </w:r>
    </w:p>
    <w:p>
      <w:r>
        <w:pict>
          <v:rect style="width:0;height:1.5pt" o:hralign="center" o:hrstd="t" o:hr="t"/>
        </w:pict>
      </w:r>
    </w:p>
    <w:bookmarkEnd w:id="9"/>
    <w:bookmarkStart w:id="10" w:name="X1b3f787822ac16a19909077da2c374b9c2cf01f"/>
    <w:p>
      <w:pPr>
        <w:pStyle w:val="Heading2"/>
      </w:pPr>
      <w:r>
        <w:t xml:space="preserve">The one thing that matters: does guidance get raised?</w:t>
      </w:r>
    </w:p>
    <w:p>
      <w:pPr>
        <w:pStyle w:val="FirstParagraph"/>
      </w:pPr>
      <w:r>
        <w:t xml:space="preserve">The single biggest swing factor into this print is</w:t>
      </w:r>
      <w:r>
        <w:t xml:space="preserve"> </w:t>
      </w:r>
      <w:r>
        <w:rPr>
          <w:b/>
          <w:bCs/>
        </w:rPr>
        <w:t xml:space="preserve">whether management raises full-year guidance.</w:t>
      </w:r>
      <w:r>
        <w:t xml:space="preserve"> </w:t>
      </w:r>
      <w:r>
        <w:t xml:space="preserve">On the Q1 call, CFO Jeff Norman was explicit that EXR deliberately</w:t>
      </w:r>
      <w:r>
        <w:t xml:space="preserve"> </w:t>
      </w:r>
      <w:r>
        <w:rPr>
          <w:i/>
          <w:iCs/>
        </w:rPr>
        <w:t xml:space="preserve">held</w:t>
      </w:r>
      <w:r>
        <w:t xml:space="preserve"> </w:t>
      </w:r>
      <w:r>
        <w:t xml:space="preserve">its FY26 Core FFO range of</w:t>
      </w:r>
      <w:r>
        <w:t xml:space="preserve"> </w:t>
      </w:r>
      <m:oMath>
        <m:r>
          <m:t>8.05</m:t>
        </m:r>
        <m:r>
          <m:rPr>
            <m:sty m:val="p"/>
          </m:rPr>
          <m:t>–</m:t>
        </m:r>
      </m:oMath>
      <w:r>
        <w:rPr>
          <w:b/>
          <w:bCs/>
        </w:rPr>
        <w:t xml:space="preserve">8.35</w:t>
      </w:r>
      <w:r>
        <w:t xml:space="preserve"> </w:t>
      </w:r>
      <w:r>
        <w:t xml:space="preserve">even though Q1 beat internal budget, saying: "we believe maintaining our current guidance range appropriately balances the positive momentum we're experiencing with the uncertainties that remain in the broader macroeconomic environment.</w:t>
      </w:r>
      <w:r>
        <w:t xml:space="preserve"> </w:t>
      </w:r>
      <w:r>
        <w:rPr>
          <w:b/>
          <w:bCs/>
        </w:rPr>
        <w:t xml:space="preserve">We will revisit our annual guidance with our second quarter earnings after the leasing season has played out.</w:t>
      </w:r>
      <w:r>
        <w:t xml:space="preserve">"</w:t>
      </w:r>
    </w:p>
    <w:p>
      <w:pPr>
        <w:pStyle w:val="BodyText"/>
      </w:pPr>
      <w:r>
        <w:t xml:space="preserve">In other words, EXR itself flagged this quarter as the guidance-reset event. With Q1 same-store revenue (+1.7%) coming in above the top of the annual guide range (-0.5% to +1.5%) and April commentary that trends "continue to be ahead of budget," the setup skews toward a guidance raise — and that, more than the headline print, is what the stock trades on.</w:t>
      </w:r>
    </w:p>
    <w:p>
      <w:r>
        <w:pict>
          <v:rect style="width:0;height:1.5pt" o:hralign="center" o:hrstd="t" o:hr="t"/>
        </w:pict>
      </w:r>
    </w:p>
    <w:bookmarkEnd w:id="10"/>
    <w:bookmarkStart w:id="11" w:name="consensus--whats-expected"/>
    <w:p>
      <w:pPr>
        <w:pStyle w:val="Heading2"/>
      </w:pPr>
      <w:r>
        <w:t xml:space="preserve">Consensus &amp; what's expected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2026 Expectation</w:t>
            </w:r>
          </w:p>
        </w:tc>
        <w:tc>
          <w:tcPr/>
          <w:p>
            <w:pPr>
              <w:pStyle w:val="Compact"/>
            </w:pPr>
            <w:r>
              <w:t xml:space="preserve">Q2 2025 Actual</w:t>
            </w:r>
          </w:p>
        </w:tc>
      </w:tr>
      <w:tr>
        <w:tc>
          <w:tcPr/>
          <w:p>
            <w:pPr>
              <w:pStyle w:val="Compact"/>
            </w:pPr>
            <w:r>
              <w:t xml:space="preserve">Core FFO / share</w:t>
            </w:r>
          </w:p>
        </w:tc>
        <w:tc>
          <w:tcPr/>
          <w:p>
            <w:pPr>
              <w:pStyle w:val="Compact"/>
            </w:pPr>
            <w:r>
              <w:rPr>
                <w:b/>
                <w:bCs/>
              </w:rPr>
              <w:t xml:space="preserve">~$2.06</w:t>
            </w:r>
            <w:r>
              <w:t xml:space="preserve"> </w:t>
            </w:r>
            <w:r>
              <w:t xml:space="preserve">(Street)</w:t>
            </w:r>
          </w:p>
        </w:tc>
        <w:tc>
          <w:tcPr/>
          <w:p>
            <w:pPr>
              <w:pStyle w:val="Compact"/>
            </w:pPr>
            <w:r>
              <w:t xml:space="preserve">$2.05</w:t>
            </w:r>
          </w:p>
        </w:tc>
      </w:tr>
      <w:tr>
        <w:tc>
          <w:tcPr/>
          <w:p>
            <w:pPr>
              <w:pStyle w:val="Compact"/>
            </w:pPr>
            <w:r>
              <w:t xml:space="preserve">YoY Core FFO growth</w:t>
            </w:r>
          </w:p>
        </w:tc>
        <w:tc>
          <w:tcPr/>
          <w:p>
            <w:pPr>
              <w:pStyle w:val="Compact"/>
            </w:pPr>
            <w:r>
              <w:t xml:space="preserve">~+0.5%</w:t>
            </w:r>
          </w:p>
        </w:tc>
        <w:tc>
          <w:tcPr/>
          <w:p>
            <w:pPr>
              <w:pStyle w:val="Compact"/>
            </w:pPr>
            <w:r>
              <w:t xml:space="preserve">-0.5%</w:t>
            </w:r>
          </w:p>
        </w:tc>
      </w:tr>
      <w:tr>
        <w:tc>
          <w:tcPr/>
          <w:p>
            <w:pPr>
              <w:pStyle w:val="Compact"/>
            </w:pPr>
            <w:r>
              <w:t xml:space="preserve">Same-store revenue</w:t>
            </w:r>
          </w:p>
        </w:tc>
        <w:tc>
          <w:tcPr/>
          <w:p>
            <w:pPr>
              <w:pStyle w:val="Compact"/>
            </w:pPr>
            <w:r>
              <w:t xml:space="preserve">positive, low-single-digit</w:t>
            </w:r>
          </w:p>
        </w:tc>
        <w:tc>
          <w:tcPr/>
          <w:p>
            <w:pPr>
              <w:pStyle w:val="Compact"/>
            </w:pPr>
            <w:r>
              <w:t xml:space="preserve">0.0% (flat)</w:t>
            </w:r>
          </w:p>
        </w:tc>
      </w:tr>
      <w:tr>
        <w:tc>
          <w:tcPr/>
          <w:p>
            <w:pPr>
              <w:pStyle w:val="Compact"/>
            </w:pPr>
            <w:r>
              <w:t xml:space="preserve">Same-store NOI</w:t>
            </w:r>
          </w:p>
        </w:tc>
        <w:tc>
          <w:tcPr/>
          <w:p>
            <w:pPr>
              <w:pStyle w:val="Compact"/>
            </w:pPr>
            <w:r>
              <w:t xml:space="preserve">positive (easy comp)</w:t>
            </w:r>
          </w:p>
        </w:tc>
        <w:tc>
          <w:tcPr/>
          <w:p>
            <w:pPr>
              <w:pStyle w:val="Compact"/>
            </w:pPr>
            <w:r>
              <w:rPr>
                <w:b/>
                <w:bCs/>
              </w:rPr>
              <w:t xml:space="preserve">-3.1%</w:t>
            </w:r>
          </w:p>
        </w:tc>
      </w:tr>
      <w:tr>
        <w:tc>
          <w:tcPr/>
          <w:p>
            <w:pPr>
              <w:pStyle w:val="Compact"/>
            </w:pPr>
            <w:r>
              <w:t xml:space="preserve">Same-store occupancy (qtr-end)</w:t>
            </w:r>
          </w:p>
        </w:tc>
        <w:tc>
          <w:tcPr/>
          <w:p>
            <w:pPr>
              <w:pStyle w:val="Compact"/>
            </w:pPr>
            <w:r>
              <w:t xml:space="preserve">watch vs. 94.6% comp</w:t>
            </w:r>
          </w:p>
        </w:tc>
        <w:tc>
          <w:tcPr/>
          <w:p>
            <w:pPr>
              <w:pStyle w:val="Compact"/>
            </w:pPr>
            <w:r>
              <w:t xml:space="preserve">94.6%</w:t>
            </w:r>
          </w:p>
        </w:tc>
      </w:tr>
    </w:tbl>
    <w:p>
      <w:pPr>
        <w:pStyle w:val="BodyText"/>
      </w:pPr>
      <w:r>
        <w:t xml:space="preserve">Zacks/consensus sits at roughly</w:t>
      </w:r>
      <w:r>
        <w:t xml:space="preserve"> </w:t>
      </w:r>
      <w:r>
        <w:rPr>
          <w:b/>
          <w:bCs/>
        </w:rPr>
        <w:t xml:space="preserve">$2.06 in Core FFO</w:t>
      </w:r>
      <w:r>
        <w:t xml:space="preserve">, up marginally from $2.05 a year ago. EXR has beaten FFO in three of the last four quarters. Note that the year-ago Q2 2025 was an unusually weak comp on the NOI line (-3.1%), largely because same-store property taxes jumped +19.2% on Life Storage reassessments — meaning</w:t>
      </w:r>
      <w:r>
        <w:t xml:space="preserve"> </w:t>
      </w:r>
      <w:r>
        <w:rPr>
          <w:b/>
          <w:bCs/>
        </w:rPr>
        <w:t xml:space="preserve">the NOI comparison this quarter should look much better mechanically.</w:t>
      </w:r>
    </w:p>
    <w:p>
      <w:r>
        <w:pict>
          <v:rect style="width:0;height:1.5pt" o:hralign="center" o:hrstd="t" o:hr="t"/>
        </w:pict>
      </w:r>
    </w:p>
    <w:bookmarkEnd w:id="11"/>
    <w:bookmarkStart w:id="12" w:name="whats-driving-the-fundamentals"/>
    <w:p>
      <w:pPr>
        <w:pStyle w:val="Heading2"/>
      </w:pPr>
      <w:r>
        <w:t xml:space="preserve">What's driving the fundamentals</w:t>
      </w:r>
    </w:p>
    <w:p>
      <w:pPr>
        <w:pStyle w:val="FirstParagraph"/>
      </w:pPr>
      <w:r>
        <w:rPr>
          <w:b/>
          <w:bCs/>
        </w:rPr>
        <w:t xml:space="preserve">Same-store revenue is re-accelerating.</w:t>
      </w:r>
      <w:r>
        <w:t xml:space="preserve"> </w:t>
      </w:r>
      <w:r>
        <w:t xml:space="preserve">Growth improved from +0.4% in Q4 2025 to +1.7% in Q1 2026 (+130 bps sequentially), and NOI growth improved to +1.2%. Management attributes this to multiple quarters of positive new-customer rate growth finally flowing through to revenue, plus steady demand meeting</w:t>
      </w:r>
      <w:r>
        <w:t xml:space="preserve"> </w:t>
      </w:r>
      <w:r>
        <w:rPr>
          <w:b/>
          <w:bCs/>
        </w:rPr>
        <w:t xml:space="preserve">declining new supply.</w:t>
      </w:r>
    </w:p>
    <w:p>
      <w:pPr>
        <w:pStyle w:val="BodyText"/>
      </w:pPr>
      <w:r>
        <w:rPr>
          <w:b/>
          <w:bCs/>
        </w:rPr>
        <w:t xml:space="preserve">But the rate tailwind is moderating — watch this closely.</w:t>
      </w:r>
      <w:r>
        <w:t xml:space="preserve"> </w:t>
      </w:r>
      <w:r>
        <w:t xml:space="preserve">New-customer rates decelerated from +5–6% in Jan/Feb to just over +1% in March (April described as "modestly positive"). Management insists the system optimizes for</w:t>
      </w:r>
      <w:r>
        <w:t xml:space="preserve"> </w:t>
      </w:r>
      <w:r>
        <w:rPr>
          <w:i/>
          <w:iCs/>
        </w:rPr>
        <w:t xml:space="preserve">total revenue</w:t>
      </w:r>
      <w:r>
        <w:t xml:space="preserve"> </w:t>
      </w:r>
      <w:r>
        <w:t xml:space="preserve">(rate vs. occupancy vs. marketing), and picked up occupancy in March as rate cooled. The bear case (BofA's Samir Khanal keeps an Underperform) is that decelerating street rates plus tougher H2 comps cap the upside. The Q1 guide itself implies deceleration in the back half.</w:t>
      </w:r>
    </w:p>
    <w:p>
      <w:pPr>
        <w:pStyle w:val="BodyText"/>
      </w:pPr>
      <w:r>
        <w:rPr>
          <w:b/>
          <w:bCs/>
        </w:rPr>
        <w:t xml:space="preserve">Occupancy comp gets tougher.</w:t>
      </w:r>
      <w:r>
        <w:t xml:space="preserve"> </w:t>
      </w:r>
      <w:r>
        <w:t xml:space="preserve">EXR ended Q1 at 93.0% (vs. 93.2% a year prior, a narrowing gap), but the Q2 2025 comp was a lofty 94.6%. Watch whether the year-over-year occupancy gap keeps closing — management said in April it was tightening on both a sequential and YoY basis.</w:t>
      </w:r>
    </w:p>
    <w:p>
      <w:pPr>
        <w:pStyle w:val="BodyText"/>
      </w:pPr>
      <w:r>
        <w:rPr>
          <w:b/>
          <w:bCs/>
        </w:rPr>
        <w:t xml:space="preserve">Supply is the structural bull case.</w:t>
      </w:r>
      <w:r>
        <w:t xml:space="preserve"> </w:t>
      </w:r>
      <w:r>
        <w:t xml:space="preserve">Management sees new deliveries in same-store trade areas falling from ~8% of square footage in 2025 to ~6% in 2026 (vs. high-20s% in 2021–23), and national starts declining from 2.8% to 2.3% of stock. Given multi-year lease-up, each low-supply vintage compounds the benefit.</w:t>
      </w:r>
    </w:p>
    <w:p>
      <w:pPr>
        <w:pStyle w:val="BodyText"/>
      </w:pPr>
      <w:r>
        <w:rPr>
          <w:b/>
          <w:bCs/>
        </w:rPr>
        <w:t xml:space="preserve">Customer health looks solid.</w:t>
      </w:r>
      <w:r>
        <w:t xml:space="preserve"> </w:t>
      </w:r>
      <w:r>
        <w:t xml:space="preserve">Bad debt fell to ~1.5%, ECRI-induced churn is unchanged, vacates remain muted vs. history, and length of stay improved (tenants staying &gt;24 months up ~190 bps YoY). Management said in April it had seen</w:t>
      </w:r>
      <w:r>
        <w:t xml:space="preserve"> </w:t>
      </w:r>
      <w:r>
        <w:rPr>
          <w:i/>
          <w:iCs/>
        </w:rPr>
        <w:t xml:space="preserve">no</w:t>
      </w:r>
      <w:r>
        <w:t xml:space="preserve"> </w:t>
      </w:r>
      <w:r>
        <w:t xml:space="preserve">macro deterioration in customer behavior — the caution was about the unknown, not observed weakness.</w:t>
      </w:r>
    </w:p>
    <w:p>
      <w:r>
        <w:pict>
          <v:rect style="width:0;height:1.5pt" o:hralign="center" o:hrstd="t" o:hr="t"/>
        </w:pict>
      </w:r>
    </w:p>
    <w:bookmarkEnd w:id="12"/>
    <w:bookmarkStart w:id="13" w:name="Xa2b499c433619190b2332cfcd3ec0d907b27c65"/>
    <w:p>
      <w:pPr>
        <w:pStyle w:val="Heading2"/>
      </w:pPr>
      <w:r>
        <w:t xml:space="preserve">Expense line — potential positive surprise</w:t>
      </w:r>
    </w:p>
    <w:p>
      <w:pPr>
        <w:pStyle w:val="Compact"/>
        <w:numPr>
          <w:ilvl w:val="0"/>
          <w:numId w:val="1001"/>
        </w:numPr>
      </w:pPr>
      <w:r>
        <w:rPr>
          <w:b/>
          <w:bCs/>
        </w:rPr>
        <w:t xml:space="preserve">Property taxes:</w:t>
      </w:r>
      <w:r>
        <w:t xml:space="preserve"> </w:t>
      </w:r>
      <w:r>
        <w:t xml:space="preserve">easier comps in H1 (the big LSI reassessment hit was in 2025); comps get harder in H2.</w:t>
      </w:r>
    </w:p>
    <w:p>
      <w:pPr>
        <w:pStyle w:val="Compact"/>
        <w:numPr>
          <w:ilvl w:val="0"/>
          <w:numId w:val="1001"/>
        </w:numPr>
      </w:pPr>
      <w:r>
        <w:rPr>
          <w:b/>
          <w:bCs/>
        </w:rPr>
        <w:t xml:space="preserve">Insurance:</w:t>
      </w:r>
      <w:r>
        <w:t xml:space="preserve"> </w:t>
      </w:r>
      <w:r>
        <w:t xml:space="preserve">renewed at end of May; management said in April the renewal environment was "favorable for insureds" and expected it to come in</w:t>
      </w:r>
      <w:r>
        <w:t xml:space="preserve"> </w:t>
      </w:r>
      <w:r>
        <w:rPr>
          <w:b/>
          <w:bCs/>
        </w:rPr>
        <w:t xml:space="preserve">flat or better</w:t>
      </w:r>
      <w:r>
        <w:t xml:space="preserve"> </w:t>
      </w:r>
      <w:r>
        <w:t xml:space="preserve">— a possible source of upside vs. the +12% Q1 insurance-line print.</w:t>
      </w:r>
    </w:p>
    <w:p>
      <w:pPr>
        <w:pStyle w:val="Compact"/>
        <w:numPr>
          <w:ilvl w:val="0"/>
          <w:numId w:val="1001"/>
        </w:numPr>
      </w:pPr>
      <w:r>
        <w:t xml:space="preserve">Q1 total same-store expense growth was +2.7% (would have been +1.5% ex weather-related snow/utility items). FY guide is +2.0% to +3.5%.</w:t>
      </w:r>
    </w:p>
    <w:p>
      <w:r>
        <w:pict>
          <v:rect style="width:0;height:1.5pt" o:hralign="center" o:hrstd="t" o:hr="t"/>
        </w:pict>
      </w:r>
    </w:p>
    <w:bookmarkEnd w:id="13"/>
    <w:bookmarkStart w:id="14" w:name="capital-allocation--balance-sheet"/>
    <w:p>
      <w:pPr>
        <w:pStyle w:val="Heading2"/>
      </w:pPr>
      <w:r>
        <w:t xml:space="preserve">Capital allocation &amp; balance sheet</w:t>
      </w:r>
    </w:p>
    <w:p>
      <w:pPr>
        <w:pStyle w:val="Compact"/>
        <w:numPr>
          <w:ilvl w:val="0"/>
          <w:numId w:val="1002"/>
        </w:numPr>
      </w:pPr>
      <w:r>
        <w:rPr>
          <w:b/>
          <w:bCs/>
        </w:rPr>
        <w:t xml:space="preserve">External growth is deliberately modest:</w:t>
      </w:r>
      <w:r>
        <w:t xml:space="preserve"> </w:t>
      </w:r>
      <w:r>
        <w:t xml:space="preserve">FY26 acquisition guide is just $200M (EXR dollars), with management "allergic to growing for growth's sake." Recent large deals priced at sub-5% initial cap rates without enough growth to be accretive; EXR is leaning toward asset-light JV structures.</w:t>
      </w:r>
    </w:p>
    <w:p>
      <w:pPr>
        <w:pStyle w:val="Compact"/>
        <w:numPr>
          <w:ilvl w:val="0"/>
          <w:numId w:val="1002"/>
        </w:numPr>
      </w:pPr>
      <w:r>
        <w:rPr>
          <w:b/>
          <w:bCs/>
        </w:rPr>
        <w:t xml:space="preserve">Bridge loans</w:t>
      </w:r>
      <w:r>
        <w:t xml:space="preserve"> </w:t>
      </w:r>
      <w:r>
        <w:t xml:space="preserve">~$1.5B average balance (a pipeline for future acquisitions — historically ~25% of collateral gets bought).</w:t>
      </w:r>
    </w:p>
    <w:p>
      <w:pPr>
        <w:pStyle w:val="Compact"/>
        <w:numPr>
          <w:ilvl w:val="0"/>
          <w:numId w:val="1002"/>
        </w:numPr>
      </w:pPr>
      <w:r>
        <w:rPr>
          <w:b/>
          <w:bCs/>
        </w:rPr>
        <w:t xml:space="preserve">Third-party management</w:t>
      </w:r>
      <w:r>
        <w:t xml:space="preserve"> </w:t>
      </w:r>
      <w:r>
        <w:t xml:space="preserve">keeps compounding: +60 net stores in Q1 to 1,916 managed for third parties; the platform is a fee-income and future-acquisition engine.</w:t>
      </w:r>
    </w:p>
    <w:p>
      <w:pPr>
        <w:pStyle w:val="Compact"/>
        <w:numPr>
          <w:ilvl w:val="0"/>
          <w:numId w:val="1002"/>
        </w:numPr>
      </w:pPr>
      <w:r>
        <w:rPr>
          <w:b/>
          <w:bCs/>
        </w:rPr>
        <w:t xml:space="preserve">Balance sheet is well-termed:</w:t>
      </w:r>
      <w:r>
        <w:t xml:space="preserve"> </w:t>
      </w:r>
      <w:r>
        <w:t xml:space="preserve">~4.3% weighted avg rate, ~4.3-yr maturity, ~82.5% fixed (~93% effective). In</w:t>
      </w:r>
      <w:r>
        <w:t xml:space="preserve"> </w:t>
      </w:r>
      <w:r>
        <w:rPr>
          <w:b/>
          <w:bCs/>
        </w:rPr>
        <w:t xml:space="preserve">July 2026 EXR issued $550M of 4.900% senior notes due 2032</w:t>
      </w:r>
      <w:r>
        <w:t xml:space="preserve">, terming out debt — expect a modest, guidance-neutral interest-expense read-through.</w:t>
      </w:r>
    </w:p>
    <w:p>
      <w:pPr>
        <w:pStyle w:val="Compact"/>
        <w:numPr>
          <w:ilvl w:val="0"/>
          <w:numId w:val="1002"/>
        </w:numPr>
      </w:pPr>
      <w:r>
        <w:rPr>
          <w:b/>
          <w:bCs/>
        </w:rPr>
        <w:t xml:space="preserve">Buyback optionality:</w:t>
      </w:r>
      <w:r>
        <w:t xml:space="preserve"> </w:t>
      </w:r>
      <w:r>
        <w:t xml:space="preserve">~</w:t>
      </w:r>
      <m:oMath>
        <m:r>
          <m:t>349</m:t>
        </m:r>
        <m:r>
          <m:t>M</m:t>
        </m:r>
        <m:r>
          <m:t>r</m:t>
        </m:r>
        <m:r>
          <m:t>e</m:t>
        </m:r>
        <m:r>
          <m:t>m</m:t>
        </m:r>
        <m:r>
          <m:t>a</m:t>
        </m:r>
        <m:r>
          <m:t>i</m:t>
        </m:r>
        <m:r>
          <m:t>n</m:t>
        </m:r>
        <m:r>
          <m:t>e</m:t>
        </m:r>
        <m:r>
          <m:t>d</m:t>
        </m:r>
        <m:r>
          <m:t>o</m:t>
        </m:r>
        <m:r>
          <m:t>n</m:t>
        </m:r>
        <m:r>
          <m:t>t</m:t>
        </m:r>
        <m:r>
          <m:t>h</m:t>
        </m:r>
        <m:r>
          <m:t>e</m:t>
        </m:r>
        <m:r>
          <m:t>r</m:t>
        </m:r>
        <m:r>
          <m:t>e</m:t>
        </m:r>
        <m:r>
          <m:t>p</m:t>
        </m:r>
        <m:r>
          <m:t>u</m:t>
        </m:r>
        <m:r>
          <m:t>r</m:t>
        </m:r>
        <m:r>
          <m:t>c</m:t>
        </m:r>
        <m:r>
          <m:t>h</m:t>
        </m:r>
        <m:r>
          <m:t>a</m:t>
        </m:r>
        <m:r>
          <m:t>s</m:t>
        </m:r>
        <m:r>
          <m:t>e</m:t>
        </m:r>
        <m:r>
          <m:t>a</m:t>
        </m:r>
        <m:r>
          <m:t>u</m:t>
        </m:r>
        <m:r>
          <m:t>t</m:t>
        </m:r>
        <m:r>
          <m:t>h</m:t>
        </m:r>
        <m:r>
          <m:t>o</m:t>
        </m:r>
        <m:r>
          <m:t>r</m:t>
        </m:r>
        <m:r>
          <m:t>i</m:t>
        </m:r>
        <m:r>
          <m:t>z</m:t>
        </m:r>
        <m:r>
          <m:t>a</m:t>
        </m:r>
        <m:r>
          <m:t>t</m:t>
        </m:r>
        <m:r>
          <m:t>i</m:t>
        </m:r>
        <m:r>
          <m:t>o</m:t>
        </m:r>
        <m:r>
          <m:t>n</m:t>
        </m:r>
        <m:r>
          <m:rPr>
            <m:sty m:val="p"/>
          </m:rPr>
          <m:t>;</m:t>
        </m:r>
        <m:r>
          <m:t>E</m:t>
        </m:r>
        <m:r>
          <m:t>X</m:t>
        </m:r>
        <m:r>
          <m:t>R</m:t>
        </m:r>
        <m:r>
          <m:t>b</m:t>
        </m:r>
        <m:r>
          <m:t>o</m:t>
        </m:r>
        <m:r>
          <m:t>u</m:t>
        </m:r>
        <m:r>
          <m:t>g</m:t>
        </m:r>
        <m:r>
          <m:t>h</m:t>
        </m:r>
        <m:r>
          <m:t>t</m:t>
        </m:r>
        <m:r>
          <m:t> </m:t>
        </m:r>
      </m:oMath>
      <w:r>
        <w:t xml:space="preserve">140M in Q4 2025 near $130 but was largely sidelined in Q1. With shares around $148, watch for commentary on whether buybacks resume vs. acquisitions.</w:t>
      </w:r>
    </w:p>
    <w:p>
      <w:r>
        <w:pict>
          <v:rect style="width:0;height:1.5pt" o:hralign="center" o:hrstd="t" o:hr="t"/>
        </w:pict>
      </w:r>
    </w:p>
    <w:bookmarkEnd w:id="14"/>
    <w:bookmarkStart w:id="15" w:name="stock-setup--sentiment"/>
    <w:p>
      <w:pPr>
        <w:pStyle w:val="Heading2"/>
      </w:pPr>
      <w:r>
        <w:t xml:space="preserve">Stock setup &amp; sentiment</w:t>
      </w:r>
    </w:p>
    <w:p>
      <w:pPr>
        <w:pStyle w:val="Compact"/>
        <w:numPr>
          <w:ilvl w:val="0"/>
          <w:numId w:val="1003"/>
        </w:numPr>
      </w:pPr>
      <w:r>
        <w:t xml:space="preserve">EXR trades around **</w:t>
      </w:r>
      <m:oMath>
        <m:r>
          <m:t>148</m:t>
        </m:r>
        <m:r>
          <m:rPr>
            <m:sty m:val="p"/>
          </m:rPr>
          <m:t>*</m:t>
        </m:r>
        <m:r>
          <m:rPr>
            <m:sty m:val="p"/>
          </m:rPr>
          <m:t>*</m:t>
        </m:r>
        <m:r>
          <m:rPr>
            <m:sty m:val="p"/>
          </m:rPr>
          <m:t>,</m:t>
        </m:r>
        <m:r>
          <m:t>u</m:t>
        </m:r>
        <m:r>
          <m:t>p</m:t>
        </m:r>
        <m:r>
          <m:t>r</m:t>
        </m:r>
        <m:r>
          <m:t>o</m:t>
        </m:r>
        <m:r>
          <m:t>u</m:t>
        </m:r>
        <m:r>
          <m:t>g</m:t>
        </m:r>
        <m:r>
          <m:t>h</m:t>
        </m:r>
        <m:r>
          <m:t>l</m:t>
        </m:r>
        <m:r>
          <m:t>y</m:t>
        </m:r>
        <m:r>
          <m:rPr>
            <m:sty m:val="p"/>
          </m:rPr>
          <m:t>*</m:t>
        </m:r>
        <m:r>
          <m:rPr>
            <m:sty m:val="p"/>
          </m:rPr>
          <m:t>*</m:t>
        </m:r>
        <m:r>
          <m:rPr>
            <m:sty m:val="p"/>
          </m:rPr>
          <m:t>+</m:t>
        </m:r>
        <m:r>
          <m:t>13</m:t>
        </m:r>
      </m:oMath>
      <w:r>
        <w:t xml:space="preserve">131 to start the year), and near the higher end of its 2026 range.</w:t>
      </w:r>
    </w:p>
    <w:p>
      <w:pPr>
        <w:pStyle w:val="Compact"/>
        <w:numPr>
          <w:ilvl w:val="0"/>
          <w:numId w:val="1003"/>
        </w:numPr>
      </w:pPr>
      <w:r>
        <w:t xml:space="preserve">Dividend is</w:t>
      </w:r>
      <w:r>
        <w:t xml:space="preserve"> </w:t>
      </w:r>
      <m:oMath>
        <m:r>
          <m:t>1.62</m:t>
        </m:r>
        <m:r>
          <m:rPr>
            <m:sty m:val="p"/>
          </m:rPr>
          <m:t>/</m:t>
        </m:r>
        <m:r>
          <m:t>q</m:t>
        </m:r>
        <m:r>
          <m:t>u</m:t>
        </m:r>
        <m:r>
          <m:t>a</m:t>
        </m:r>
        <m:r>
          <m:t>r</m:t>
        </m:r>
        <m:r>
          <m:t>t</m:t>
        </m:r>
        <m:r>
          <m:t>e</m:t>
        </m:r>
        <m:r>
          <m:t>r</m:t>
        </m:r>
        <m:r>
          <m:rPr>
            <m:sty m:val="p"/>
          </m:rPr>
          <m:t>(</m:t>
        </m:r>
        <m:r>
          <m:t> </m:t>
        </m:r>
      </m:oMath>
      <w:r>
        <w:t xml:space="preserve">6.48 annualized), a yield of roughly</w:t>
      </w:r>
      <w:r>
        <w:t xml:space="preserve"> </w:t>
      </w:r>
      <w:r>
        <w:rPr>
          <w:b/>
          <w:bCs/>
        </w:rPr>
        <w:t xml:space="preserve">~4.4%</w:t>
      </w:r>
      <w:r>
        <w:t xml:space="preserve">.</w:t>
      </w:r>
    </w:p>
    <w:p>
      <w:pPr>
        <w:pStyle w:val="Compact"/>
        <w:numPr>
          <w:ilvl w:val="0"/>
          <w:numId w:val="1003"/>
        </w:numPr>
      </w:pPr>
      <w:r>
        <w:t xml:space="preserve">Sell-side is mixed-to-constructive: consensus rating "Buy" with average targets in the low-</w:t>
      </w:r>
      <m:oMath>
        <m:r>
          <m:t>150</m:t>
        </m:r>
        <m:r>
          <m:t>s</m:t>
        </m:r>
        <m:r>
          <m:rPr>
            <m:sty m:val="p"/>
          </m:rPr>
          <m:t>,</m:t>
        </m:r>
        <m:r>
          <m:t>b</m:t>
        </m:r>
        <m:r>
          <m:t>u</m:t>
        </m:r>
        <m:r>
          <m:t>t</m:t>
        </m:r>
        <m:r>
          <m:t>s</m:t>
        </m:r>
        <m:r>
          <m:t>k</m:t>
        </m:r>
        <m:r>
          <m:t>e</m:t>
        </m:r>
        <m:r>
          <m:t>p</m:t>
        </m:r>
        <m:r>
          <m:t>t</m:t>
        </m:r>
        <m:r>
          <m:t>i</m:t>
        </m:r>
        <m:r>
          <m:t>c</m:t>
        </m:r>
        <m:r>
          <m:t>s</m:t>
        </m:r>
        <m:r>
          <m:rPr>
            <m:sty m:val="p"/>
          </m:rPr>
          <m:t>(</m:t>
        </m:r>
        <m:r>
          <m:t>B</m:t>
        </m:r>
        <m:r>
          <m:t>o</m:t>
        </m:r>
        <m:r>
          <m:t>f</m:t>
        </m:r>
        <m:r>
          <m:t>A</m:t>
        </m:r>
        <m:r>
          <m:t>U</m:t>
        </m:r>
        <m:r>
          <m:t>n</m:t>
        </m:r>
        <m:r>
          <m:t>d</m:t>
        </m:r>
        <m:r>
          <m:t>e</m:t>
        </m:r>
        <m:r>
          <m:t>r</m:t>
        </m:r>
        <m:r>
          <m:t>p</m:t>
        </m:r>
        <m:r>
          <m:t>e</m:t>
        </m:r>
        <m:r>
          <m:t>r</m:t>
        </m:r>
        <m:r>
          <m:t>f</m:t>
        </m:r>
        <m:r>
          <m:t>o</m:t>
        </m:r>
        <m:r>
          <m:t>r</m:t>
        </m:r>
        <m:r>
          <m:t>m</m:t>
        </m:r>
        <m:r>
          <m:t> </m:t>
        </m:r>
      </m:oMath>
      <w:r>
        <w:t xml:space="preserve">147) cite cap-rate compression and muted near-term growth.</w:t>
      </w:r>
    </w:p>
    <w:p>
      <w:pPr>
        <w:pStyle w:val="Compact"/>
        <w:numPr>
          <w:ilvl w:val="0"/>
          <w:numId w:val="1003"/>
        </w:numPr>
      </w:pPr>
      <w:r>
        <w:t xml:space="preserve">With the stock already up double digits and the multiple full, a guidance raise may be</w:t>
      </w:r>
      <w:r>
        <w:t xml:space="preserve"> </w:t>
      </w:r>
      <w:r>
        <w:rPr>
          <w:b/>
          <w:bCs/>
        </w:rPr>
        <w:t xml:space="preserve">partly priced in</w:t>
      </w:r>
      <w:r>
        <w:t xml:space="preserve"> </w:t>
      </w:r>
      <w:r>
        <w:t xml:space="preserve">— reaction likely hinges on the</w:t>
      </w:r>
      <w:r>
        <w:t xml:space="preserve"> </w:t>
      </w:r>
      <w:r>
        <w:rPr>
          <w:i/>
          <w:iCs/>
        </w:rPr>
        <w:t xml:space="preserve">magnitude</w:t>
      </w:r>
      <w:r>
        <w:t xml:space="preserve"> </w:t>
      </w:r>
      <w:r>
        <w:t xml:space="preserve">of any raise and the tone on the just-completed leasing season.</w:t>
      </w:r>
    </w:p>
    <w:p>
      <w:r>
        <w:pict>
          <v:rect style="width:0;height:1.5pt" o:hralign="center" o:hrstd="t" o:hr="t"/>
        </w:pict>
      </w:r>
    </w:p>
    <w:bookmarkEnd w:id="15"/>
    <w:bookmarkStart w:id="16" w:name="what-to-listen-for-on-the-call"/>
    <w:p>
      <w:pPr>
        <w:pStyle w:val="Heading2"/>
      </w:pPr>
      <w:r>
        <w:t xml:space="preserve">What to listen for on the call</w:t>
      </w:r>
    </w:p>
    <w:p>
      <w:pPr>
        <w:pStyle w:val="Compact"/>
        <w:numPr>
          <w:ilvl w:val="0"/>
          <w:numId w:val="1004"/>
        </w:numPr>
      </w:pPr>
      <w:r>
        <w:rPr>
          <w:b/>
          <w:bCs/>
        </w:rPr>
        <w:t xml:space="preserve">Guidance:</w:t>
      </w:r>
      <w:r>
        <w:t xml:space="preserve"> </w:t>
      </w:r>
      <w:r>
        <w:t xml:space="preserve">Is the FY26 Core FFO range (</w:t>
      </w:r>
      <m:oMath>
        <m:r>
          <m:t>8.05</m:t>
        </m:r>
        <m:r>
          <m:rPr>
            <m:sty m:val="p"/>
          </m:rPr>
          <m:t>–</m:t>
        </m:r>
      </m:oMath>
      <w:r>
        <w:t xml:space="preserve">8.35) raised, and by how much? Where do same-store revenue/NOI ranges land after the leasing peak?</w:t>
      </w:r>
    </w:p>
    <w:p>
      <w:pPr>
        <w:pStyle w:val="Compact"/>
        <w:numPr>
          <w:ilvl w:val="0"/>
          <w:numId w:val="1004"/>
        </w:numPr>
      </w:pPr>
      <w:r>
        <w:rPr>
          <w:b/>
          <w:bCs/>
        </w:rPr>
        <w:t xml:space="preserve">Peak-season scorecard:</w:t>
      </w:r>
      <w:r>
        <w:t xml:space="preserve"> </w:t>
      </w:r>
      <w:r>
        <w:t xml:space="preserve">How did May–July occupancy and street rates actually trend vs. the ahead-of-budget April pace?</w:t>
      </w:r>
    </w:p>
    <w:p>
      <w:pPr>
        <w:pStyle w:val="Compact"/>
        <w:numPr>
          <w:ilvl w:val="0"/>
          <w:numId w:val="1004"/>
        </w:numPr>
      </w:pPr>
      <w:r>
        <w:rPr>
          <w:b/>
          <w:bCs/>
        </w:rPr>
        <w:t xml:space="preserve">Rate vs. occupancy:</w:t>
      </w:r>
      <w:r>
        <w:t xml:space="preserve"> </w:t>
      </w:r>
      <w:r>
        <w:t xml:space="preserve">Did the system keep leaning into occupancy, and is new-customer rate still positive?</w:t>
      </w:r>
    </w:p>
    <w:p>
      <w:pPr>
        <w:pStyle w:val="Compact"/>
        <w:numPr>
          <w:ilvl w:val="0"/>
          <w:numId w:val="1004"/>
        </w:numPr>
      </w:pPr>
      <w:r>
        <w:rPr>
          <w:b/>
          <w:bCs/>
        </w:rPr>
        <w:t xml:space="preserve">Sunbelt recovery:</w:t>
      </w:r>
      <w:r>
        <w:t xml:space="preserve"> </w:t>
      </w:r>
      <w:r>
        <w:t xml:space="preserve">Continued improvement in Atlanta/Austin/Dallas/Miami/Phoenix vs. lingering headwinds in Houston, Tampa, SW Florida.</w:t>
      </w:r>
    </w:p>
    <w:p>
      <w:pPr>
        <w:pStyle w:val="Compact"/>
        <w:numPr>
          <w:ilvl w:val="0"/>
          <w:numId w:val="1004"/>
        </w:numPr>
      </w:pPr>
      <w:r>
        <w:rPr>
          <w:b/>
          <w:bCs/>
        </w:rPr>
        <w:t xml:space="preserve">Insurance renewal:</w:t>
      </w:r>
      <w:r>
        <w:t xml:space="preserve"> </w:t>
      </w:r>
      <w:r>
        <w:t xml:space="preserve">Confirmation of a flat-to-favorable outcome — a clean expense tailwind.</w:t>
      </w:r>
    </w:p>
    <w:p>
      <w:pPr>
        <w:pStyle w:val="Compact"/>
        <w:numPr>
          <w:ilvl w:val="0"/>
          <w:numId w:val="1004"/>
        </w:numPr>
      </w:pPr>
      <w:r>
        <w:rPr>
          <w:b/>
          <w:bCs/>
        </w:rPr>
        <w:t xml:space="preserve">Capital allocation:</w:t>
      </w:r>
      <w:r>
        <w:t xml:space="preserve"> </w:t>
      </w:r>
      <w:r>
        <w:t xml:space="preserve">Any pickup in accretive deal flow, JV activity, or resumed buybacks.</w:t>
      </w:r>
    </w:p>
    <w:p>
      <w:pPr>
        <w:pStyle w:val="Compact"/>
        <w:numPr>
          <w:ilvl w:val="0"/>
          <w:numId w:val="1004"/>
        </w:numPr>
      </w:pPr>
      <w:r>
        <w:rPr>
          <w:b/>
          <w:bCs/>
        </w:rPr>
        <w:t xml:space="preserve">Competitive backdrop:</w:t>
      </w:r>
      <w:r>
        <w:t xml:space="preserve"> </w:t>
      </w:r>
      <w:r>
        <w:t xml:space="preserve">Commentary on the combined PSA/NSA platform and any pressure on third-party management pricing (none seen as of April).</w:t>
      </w:r>
    </w:p>
    <w:p>
      <w:r>
        <w:pict>
          <v:rect style="width:0;height:1.5pt" o:hralign="center" o:hrstd="t" o:hr="t"/>
        </w:pict>
      </w:r>
    </w:p>
    <w:p>
      <w:pPr>
        <w:pStyle w:val="FirstParagraph"/>
      </w:pPr>
      <w:r>
        <w:rPr>
          <w:b/>
          <w:bCs/>
        </w:rPr>
        <w:t xml:space="preserve">Bottom line:</w:t>
      </w:r>
      <w:r>
        <w:t xml:space="preserve"> </w:t>
      </w:r>
      <w:r>
        <w:t xml:space="preserve">EXR heads into Q2 with re-accelerating same-store trends, an easy year-ago NOI comp, moderating supply, and healthy customer metrics — a constructive backdrop. The report is less about the ~$2.06 headline and more about the</w:t>
      </w:r>
      <w:r>
        <w:t xml:space="preserve"> </w:t>
      </w:r>
      <w:r>
        <w:rPr>
          <w:b/>
          <w:bCs/>
        </w:rPr>
        <w:t xml:space="preserve">guidance revision management pre-committed to this quarter.</w:t>
      </w:r>
      <w:r>
        <w:t xml:space="preserve"> </w:t>
      </w:r>
      <w:r>
        <w:t xml:space="preserve">The tension: fundamentals are improving into the print, but street-rate deceleration, tougher H2 comps, a still-weak housing market, and a stock already up ~13% YTD mean the bar for a positive reaction is meaningful.</w:t>
      </w:r>
    </w:p>
    <w:p>
      <w:pPr>
        <w:pStyle w:val="BodyText"/>
      </w:pPr>
      <w:r>
        <w:rPr>
          <w:i/>
          <w:iCs/>
        </w:rPr>
        <w:t xml:space="preserve">Note: figures above are drawn from EXR's Q1 2026 release/call, the Q2 2025 release, recent filings, and public consensus data. Actual results and any guidance change will be confirmed on the report.</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2026-07-28T01:35:05Z</dcterms:created>
  <dcterms:modified xsi:type="dcterms:W3CDTF">2026-07-28T01:35:05Z</dcterms:modified>
</cp:coreProperties>
</file>

<file path=docProps/custom.xml><?xml version="1.0" encoding="utf-8"?>
<Properties xmlns="http://schemas.openxmlformats.org/officeDocument/2006/custom-properties" xmlns:vt="http://schemas.openxmlformats.org/officeDocument/2006/docPropsVTypes"/>
</file>