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4b5a17293a2adff4e1083964b34ab977d49aa37"/>
    <w:p>
      <w:pPr>
        <w:pStyle w:val="Heading1"/>
      </w:pPr>
      <w:r>
        <w:t xml:space="preserve">Extra Space Storage (EXR) — Q2 2026 Earnings Preview</w:t>
      </w:r>
    </w:p>
    <w:p>
      <w:pPr>
        <w:pStyle w:val="FirstParagraph"/>
      </w:pPr>
      <w:r>
        <w:rPr>
          <w:b/>
          <w:bCs/>
        </w:rPr>
        <w:t xml:space="preserve">Reports:</w:t>
      </w:r>
      <w:r>
        <w:t xml:space="preserve"> </w:t>
      </w:r>
      <w:r>
        <w:t xml:space="preserve">Tuesday, July 28,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EXR shares have recovered nicely off their spring lows, trading around **</w:t>
      </w:r>
      <m:oMath>
        <m:r>
          <m:t>148</m:t>
        </m:r>
        <m:r>
          <m:rPr>
            <m:sty m:val="p"/>
          </m:rPr>
          <m:t>*</m:t>
        </m:r>
        <m:r>
          <m:rPr>
            <m:sty m:val="p"/>
          </m:rPr>
          <m:t>*</m:t>
        </m:r>
        <m:r>
          <m:t>a</m:t>
        </m:r>
        <m:r>
          <m:t>s</m:t>
        </m:r>
        <m:r>
          <m:t>o</m:t>
        </m:r>
        <m:r>
          <m:t>f</m:t>
        </m:r>
        <m:r>
          <m:t>J</m:t>
        </m:r>
        <m:r>
          <m:t>u</m:t>
        </m:r>
        <m:r>
          <m:t>l</m:t>
        </m:r>
        <m:r>
          <m:t>y</m:t>
        </m:r>
        <m:r>
          <m:t>27</m:t>
        </m:r>
        <m:r>
          <m:t>v</m:t>
        </m:r>
        <m:r>
          <m:t>e</m:t>
        </m:r>
        <m:r>
          <m:t>r</m:t>
        </m:r>
        <m:r>
          <m:t>s</m:t>
        </m:r>
        <m:r>
          <m:t>u</m:t>
        </m:r>
        <m:r>
          <m:t>s</m:t>
        </m:r>
        <m:r>
          <m:t>a</m:t>
        </m:r>
        <m:r>
          <m:t>l</m:t>
        </m:r>
        <m:r>
          <m:t>o</m:t>
        </m:r>
        <m:r>
          <m:t>w</m:t>
        </m:r>
        <m:r>
          <m:rPr>
            <m:sty m:val="p"/>
          </m:rPr>
          <m:t>‑</m:t>
        </m:r>
      </m:oMath>
      <w:r>
        <w:t xml:space="preserve">128 trough in late March, though still shy of the 52‑week high near $155. The stock's re-rating has coincided with</w:t>
      </w:r>
      <w:r>
        <w:t xml:space="preserve"> </w:t>
      </w:r>
      <w:r>
        <w:rPr>
          <w:b/>
          <w:bCs/>
        </w:rPr>
        <w:t xml:space="preserve">BofA upgrading EXR to Neutral from Underperform (PT $156)</w:t>
      </w:r>
      <w:r>
        <w:t xml:space="preserve"> </w:t>
      </w:r>
      <w:r>
        <w:t xml:space="preserve">following improved self-storage operating trend checks at Nareit, while Truist has flagged the stock trading roughly in line with NAV — at</w:t>
      </w:r>
      <w:r>
        <w:t xml:space="preserve"> </w:t>
      </w:r>
      <w:r>
        <w:rPr>
          <w:b/>
          <w:bCs/>
        </w:rPr>
        <w:t xml:space="preserve">17.8x 2026 FFO versus a historical average near 19.5x</w:t>
      </w:r>
      <w:r>
        <w:t xml:space="preserve">, suggesting the market isn't yet pricing in a full cyclical recovery.</w:t>
      </w:r>
    </w:p>
    <w:p>
      <w:pPr>
        <w:pStyle w:val="BodyText"/>
      </w:pPr>
      <w:r>
        <w:t xml:space="preserve">Consensus for Q2 2026 core FFO sits at</w:t>
      </w:r>
      <w:r>
        <w:t xml:space="preserve"> </w:t>
      </w:r>
      <w:r>
        <w:rPr>
          <w:b/>
          <w:bCs/>
        </w:rPr>
        <w:t xml:space="preserve">~$2.06/share</w:t>
      </w:r>
      <w:r>
        <w:t xml:space="preserve"> </w:t>
      </w:r>
      <w:r>
        <w:t xml:space="preserve">(up modestly from</w:t>
      </w:r>
      <w:r>
        <w:t xml:space="preserve"> </w:t>
      </w:r>
      <m:oMath>
        <m:r>
          <m:t>2.05</m:t>
        </m:r>
        <m:r>
          <m:t>a</m:t>
        </m:r>
        <m:r>
          <m:t>y</m:t>
        </m:r>
        <m:r>
          <m:t>e</m:t>
        </m:r>
        <m:r>
          <m:t>a</m:t>
        </m:r>
        <m:r>
          <m:t>r</m:t>
        </m:r>
        <m:r>
          <m:t>a</m:t>
        </m:r>
        <m:r>
          <m:t>g</m:t>
        </m:r>
        <m:r>
          <m:t>o</m:t>
        </m:r>
        <m:r>
          <m:rPr>
            <m:sty m:val="p"/>
          </m:rPr>
          <m:t>)</m:t>
        </m:r>
        <m:r>
          <m:rPr>
            <m:sty m:val="p"/>
          </m:rPr>
          <m:t>,</m:t>
        </m:r>
        <m:r>
          <m:t>w</m:t>
        </m:r>
        <m:r>
          <m:t>i</m:t>
        </m:r>
        <m:r>
          <m:t>t</m:t>
        </m:r>
        <m:r>
          <m:t>h</m:t>
        </m:r>
        <m:r>
          <m:t>f</m:t>
        </m:r>
        <m:r>
          <m:t>u</m:t>
        </m:r>
        <m:r>
          <m:t>l</m:t>
        </m:r>
        <m:r>
          <m:t>l</m:t>
        </m:r>
        <m:r>
          <m:rPr>
            <m:sty m:val="p"/>
          </m:rPr>
          <m:t>−</m:t>
        </m:r>
        <m:r>
          <m:t>y</m:t>
        </m:r>
        <m:r>
          <m:t>e</m:t>
        </m:r>
        <m:r>
          <m:t>a</m:t>
        </m:r>
        <m:r>
          <m:t>r</m:t>
        </m:r>
        <m:r>
          <m:t>2026</m:t>
        </m:r>
        <m:r>
          <m:t>c</m:t>
        </m:r>
        <m:r>
          <m:t>o</m:t>
        </m:r>
        <m:r>
          <m:t>n</m:t>
        </m:r>
        <m:r>
          <m:t>s</m:t>
        </m:r>
        <m:r>
          <m:t>e</m:t>
        </m:r>
        <m:r>
          <m:t>n</m:t>
        </m:r>
        <m:r>
          <m:t>s</m:t>
        </m:r>
        <m:r>
          <m:t>u</m:t>
        </m:r>
        <m:r>
          <m:t>s</m:t>
        </m:r>
        <m:r>
          <m:t>a</m:t>
        </m:r>
        <m:r>
          <m:t>r</m:t>
        </m:r>
        <m:r>
          <m:t>o</m:t>
        </m:r>
        <m:r>
          <m:t>u</m:t>
        </m:r>
        <m:r>
          <m:t>n</m:t>
        </m:r>
        <m:r>
          <m:t>d</m:t>
        </m:r>
        <m:r>
          <m:rPr>
            <m:sty m:val="p"/>
          </m:rPr>
          <m:t>*</m:t>
        </m:r>
        <m:r>
          <m:rPr>
            <m:sty m:val="p"/>
          </m:rPr>
          <m:t>*</m:t>
        </m:r>
      </m:oMath>
      <w:r>
        <w:t xml:space="preserve">8.24–</w:t>
      </w:r>
      <m:oMath>
        <m:r>
          <m:t>8.26</m:t>
        </m:r>
        <m:r>
          <m:rPr>
            <m:sty m:val="p"/>
          </m:rPr>
          <m:t>*</m:t>
        </m:r>
        <m:r>
          <m:rPr>
            <m:sty m:val="p"/>
          </m:rPr>
          <m:t>*</m:t>
        </m:r>
        <m:r>
          <m:rPr>
            <m:sty m:val="p"/>
          </m:rPr>
          <m:t>,</m:t>
        </m:r>
        <m:r>
          <m:t>c</m:t>
        </m:r>
        <m:r>
          <m:t>o</m:t>
        </m:r>
        <m:r>
          <m:t>m</m:t>
        </m:r>
        <m:r>
          <m:t>f</m:t>
        </m:r>
        <m:r>
          <m:t>o</m:t>
        </m:r>
        <m:r>
          <m:t>r</m:t>
        </m:r>
        <m:r>
          <m:t>t</m:t>
        </m:r>
        <m:r>
          <m:t>a</m:t>
        </m:r>
        <m:r>
          <m:t>b</m:t>
        </m:r>
        <m:r>
          <m:t>l</m:t>
        </m:r>
        <m:r>
          <m:t>y</m:t>
        </m:r>
        <m:r>
          <m:t>i</m:t>
        </m:r>
        <m:r>
          <m:t>n</m:t>
        </m:r>
        <m:r>
          <m:t>s</m:t>
        </m:r>
        <m:r>
          <m:t>i</m:t>
        </m:r>
        <m:r>
          <m:t>d</m:t>
        </m:r>
        <m:r>
          <m:t>e</m:t>
        </m:r>
        <m:r>
          <m:t>m</m:t>
        </m:r>
        <m:r>
          <m:t>a</m:t>
        </m:r>
        <m:r>
          <m:t>n</m:t>
        </m:r>
        <m:r>
          <m:t>a</m:t>
        </m:r>
        <m:r>
          <m:t>g</m:t>
        </m:r>
        <m:r>
          <m:t>e</m:t>
        </m:r>
        <m:r>
          <m:t>m</m:t>
        </m:r>
        <m:r>
          <m:t>e</m:t>
        </m:r>
        <m:r>
          <m:t>n</m:t>
        </m:r>
        <m:sSup>
          <m:e>
            <m:r>
              <m:t>t</m:t>
            </m:r>
          </m:e>
          <m:sup>
            <m:r>
              <m:rPr>
                <m:sty m:val="p"/>
              </m:rPr>
              <m:t>′</m:t>
            </m:r>
          </m:sup>
        </m:sSup>
        <m:r>
          <m:t>s</m:t>
        </m:r>
        <m:r>
          <m:t>m</m:t>
        </m:r>
        <m:r>
          <m:t>a</m:t>
        </m:r>
        <m:r>
          <m:t>i</m:t>
        </m:r>
        <m:r>
          <m:t>n</m:t>
        </m:r>
        <m:r>
          <m:t>t</m:t>
        </m:r>
        <m:r>
          <m:t>a</m:t>
        </m:r>
        <m:r>
          <m:t>i</m:t>
        </m:r>
        <m:r>
          <m:t>n</m:t>
        </m:r>
        <m:r>
          <m:t>e</m:t>
        </m:r>
        <m:r>
          <m:t>d</m:t>
        </m:r>
        <m:r>
          <m:t>g</m:t>
        </m:r>
        <m:r>
          <m:t>u</m:t>
        </m:r>
        <m:r>
          <m:t>i</m:t>
        </m:r>
        <m:r>
          <m:t>d</m:t>
        </m:r>
        <m:r>
          <m:t>a</m:t>
        </m:r>
        <m:r>
          <m:t>n</m:t>
        </m:r>
        <m:r>
          <m:t>c</m:t>
        </m:r>
        <m:r>
          <m:t>e</m:t>
        </m:r>
        <m:r>
          <m:t>r</m:t>
        </m:r>
        <m:r>
          <m:t>a</m:t>
        </m:r>
        <m:r>
          <m:t>n</m:t>
        </m:r>
        <m:r>
          <m:t>g</m:t>
        </m:r>
        <m:r>
          <m:t>e</m:t>
        </m:r>
        <m:r>
          <m:t>o</m:t>
        </m:r>
        <m:r>
          <m:t>f</m:t>
        </m:r>
        <m:r>
          <m:rPr>
            <m:sty m:val="p"/>
          </m:rPr>
          <m:t>*</m:t>
        </m:r>
        <m:r>
          <m:rPr>
            <m:sty m:val="p"/>
          </m:rPr>
          <m:t>*</m:t>
        </m:r>
      </m:oMath>
      <w:r>
        <w:t xml:space="preserve">8.05–$8.35**.</w:t>
      </w:r>
    </w:p>
    <w:bookmarkEnd w:id="9"/>
    <w:bookmarkStart w:id="10" w:name="what-happened-last-quarter-q1-2026-recap"/>
    <w:p>
      <w:pPr>
        <w:pStyle w:val="Heading2"/>
      </w:pPr>
      <w:r>
        <w:t xml:space="preserve">What Happened Last Quarter (Q1 2026 Recap)</w:t>
      </w:r>
    </w:p>
    <w:p>
      <w:pPr>
        <w:pStyle w:val="FirstParagraph"/>
      </w:pPr>
      <w:r>
        <w:t xml:space="preserve">Q1 set an encouraging tone. We are pleased to report first quarter core FFO of $2.04 per share, up 2% year-over-year, with positive same-store revenue growth of 1.7%, which exceeded our internal projections. Occupancy was 93% compared to 93.2% in the prior year, with the year-over-year occupancy delta improving 50 basis points since year-end. Same-store NOI growth accelerated meaningfully: Same-store revenue accelerated 130 basis points from 0.4% in the fourth quarter of 2025 to 1.7% in the first quarter of 2026, and same-store NOI growth improved 110 basis points from 0.1% to 1.2%.</w:t>
      </w:r>
    </w:p>
    <w:p>
      <w:pPr>
        <w:pStyle w:val="BodyText"/>
      </w:pPr>
      <w:r>
        <w:t xml:space="preserve">Management explicitly held full-year guidance flat despite the beat, framing Q2 as the real inflection point: we believe maintaining our current guidance range appropriately balances the positive momentum we're experiencing with the uncertainties that remain in the broader macroeconomic environment. We will revisit our annual guidance with our second quarter earnings after the leasing season has played out. That means</w:t>
      </w:r>
      <w:r>
        <w:t xml:space="preserve"> </w:t>
      </w:r>
      <w:r>
        <w:rPr>
          <w:b/>
          <w:bCs/>
        </w:rPr>
        <w:t xml:space="preserve">tomorrow's report is the moment guidance actually gets tested</w:t>
      </w:r>
      <w:r>
        <w:t xml:space="preserve"> </w:t>
      </w:r>
      <w:r>
        <w:t xml:space="preserve">— investors should watch closely for an upward revision given Q1's outperformance and management's own commentary that April trends continued the positive trajectory (continuation of what we saw in March largely where we continue to see improvement in occupancy from both a sequential standpoint and a year-over-year standpoint... continuing to be ahead of budget).</w:t>
      </w:r>
    </w:p>
    <w:bookmarkEnd w:id="10"/>
    <w:bookmarkStart w:id="11" w:name="key-themes-to-watch"/>
    <w:p>
      <w:pPr>
        <w:pStyle w:val="Heading2"/>
      </w:pPr>
      <w:r>
        <w:t xml:space="preserve">Key Themes to Watch</w:t>
      </w:r>
    </w:p>
    <w:p>
      <w:pPr>
        <w:pStyle w:val="FirstParagraph"/>
      </w:pPr>
      <w:r>
        <w:rPr>
          <w:b/>
          <w:bCs/>
        </w:rPr>
        <w:t xml:space="preserve">1. Guidance revision — the big swing factor.</w:t>
      </w:r>
      <w:r>
        <w:t xml:space="preserve"> </w:t>
      </w:r>
      <w:r>
        <w:t xml:space="preserve">With Q1 core FFO already at the high end of trajectory and same-store revenue guidance for the year spanning</w:t>
      </w:r>
      <w:r>
        <w:t xml:space="preserve"> </w:t>
      </w:r>
      <w:r>
        <w:rPr>
          <w:b/>
          <w:bCs/>
        </w:rPr>
        <w:t xml:space="preserve">-0.5% to +1.5%</w:t>
      </w:r>
      <w:r>
        <w:t xml:space="preserve">, any raise to the low or midpoint would be a meaningful positive signal. Watch whether management narrows the same-store NOI range (currently -2.25% to +1.25%) toward the upside.</w:t>
      </w:r>
    </w:p>
    <w:p>
      <w:pPr>
        <w:pStyle w:val="BodyText"/>
      </w:pPr>
      <w:r>
        <w:rPr>
          <w:b/>
          <w:bCs/>
        </w:rPr>
        <w:t xml:space="preserve">2. Supply tailwind continuing to build.</w:t>
      </w:r>
      <w:r>
        <w:t xml:space="preserve"> </w:t>
      </w:r>
      <w:r>
        <w:t xml:space="preserve">The core bull thesis remains improving fundamentals from declining new supply. Per the Q1 call, Yardi... data says that national starts are going to reduce from 2.8% to 2.3% of total stock between '25 and '26, and EXR's own metric of same-store square footage facing new competitor deliveries is expected to fall to 8% in 2025, and we think it will be 6% in 2026. This should keep pushing move-in rate growth and occupancy higher into peak leasing season.</w:t>
      </w:r>
    </w:p>
    <w:p>
      <w:pPr>
        <w:pStyle w:val="BodyText"/>
      </w:pPr>
      <w:r>
        <w:rPr>
          <w:b/>
          <w:bCs/>
        </w:rPr>
        <w:t xml:space="preserve">3. Sunbelt recovery — uneven but improving.</w:t>
      </w:r>
      <w:r>
        <w:t xml:space="preserve"> </w:t>
      </w:r>
      <w:r>
        <w:t xml:space="preserve">Management called out Atlanta, Austin, Dallas, Miami, Phoenix as markets showing clear improvement, while Southwest, Florida, Tampa, still facing some headwinds and some difficulties. Houston is another one. Watch for updated market-level commentary given EXR's outsized Sunbelt/Life Storage exposure.</w:t>
      </w:r>
    </w:p>
    <w:p>
      <w:pPr>
        <w:pStyle w:val="BodyText"/>
      </w:pPr>
      <w:r>
        <w:rPr>
          <w:b/>
          <w:bCs/>
        </w:rPr>
        <w:t xml:space="preserve">4. Los Angeles rent-restriction drag.</w:t>
      </w:r>
      <w:r>
        <w:t xml:space="preserve"> </w:t>
      </w:r>
      <w:r>
        <w:t xml:space="preserve">EXR is absorbing a modeled 40 basis point headwind assuming that the state of emergency is in play for the entire year in LA County, though ex-LA-County properties in the broader MSA are outperforming — watch for any update on whether the state of emergency designation persists.</w:t>
      </w:r>
    </w:p>
    <w:p>
      <w:pPr>
        <w:pStyle w:val="BodyText"/>
      </w:pPr>
      <w:r>
        <w:rPr>
          <w:b/>
          <w:bCs/>
        </w:rPr>
        <w:t xml:space="preserve">5. Expense trends, especially insurance.</w:t>
      </w:r>
      <w:r>
        <w:t xml:space="preserve"> </w:t>
      </w:r>
      <w:r>
        <w:t xml:space="preserve">Q1 expense growth ran hot on weather (outside of utilities and repairs and maintenance, which ran higher than expected primarily due to snow removal and other weather-related items), but management flagged a favorable insurance renewal setting up going into Q2: We renew our insurance policies in the end of May... it's a favorable environment for insureds. And we expect that to come in relatively flat, if not better. This should now be reflected in Q2 actuals.</w:t>
      </w:r>
    </w:p>
    <w:p>
      <w:pPr>
        <w:pStyle w:val="BodyText"/>
      </w:pPr>
      <w:r>
        <w:rPr>
          <w:b/>
          <w:bCs/>
        </w:rPr>
        <w:t xml:space="preserve">6. Competitive landscape shift — PSA/NSA deal closed.</w:t>
      </w:r>
      <w:r>
        <w:t xml:space="preserve"> </w:t>
      </w:r>
      <w:r>
        <w:t xml:space="preserve">Public Storage completed its</w:t>
      </w:r>
      <w:r>
        <w:t xml:space="preserve"> </w:t>
      </w:r>
      <w:r>
        <w:rPr>
          <w:b/>
          <w:bCs/>
        </w:rPr>
        <w:t xml:space="preserve">$10.5 billion acquisition of National Storage Affiliates</w:t>
      </w:r>
      <w:r>
        <w:t xml:space="preserve">, closing July 22, 2026 — consolidating one of EXR's key competitors and its largest third-party-management rival under Public Storage's platform. Management previewed this dynamic on the Q1 call, with CEO Joe Margolis noting confidence that "PSA is a very good operator" and that those combined stores would remain tough competition. Expect questions on how this consolidation affects EXR's third-party management growth (which added 60 net stores in Q1) and competitive pricing dynamics.</w:t>
      </w:r>
    </w:p>
    <w:p>
      <w:pPr>
        <w:pStyle w:val="BodyText"/>
      </w:pPr>
      <w:r>
        <w:rPr>
          <w:b/>
          <w:bCs/>
        </w:rPr>
        <w:t xml:space="preserve">7. Capital markets activity.</w:t>
      </w:r>
      <w:r>
        <w:t xml:space="preserve"> </w:t>
      </w:r>
      <w:r>
        <w:t xml:space="preserve">EXR priced</w:t>
      </w:r>
      <w:r>
        <w:t xml:space="preserve"> </w:t>
      </w:r>
      <w:r>
        <w:rPr>
          <w:b/>
          <w:bCs/>
        </w:rPr>
        <w:t xml:space="preserve">$550 million of 4.900% senior notes due 2032</w:t>
      </w:r>
      <w:r>
        <w:t xml:space="preserve"> </w:t>
      </w:r>
      <w:r>
        <w:t xml:space="preserve">in late June (closed July 6), with proceeds earmarked to repay revolver/commercial paper borrowings — a proactive termed-out refinancing that should modestly affect the interest expense line but strengthens the balance sheet (fixed-rate debt was already</w:t>
      </w:r>
      <w:r>
        <w:t xml:space="preserve"> </w:t>
      </w:r>
      <w:r>
        <w:rPr>
          <w:b/>
          <w:bCs/>
        </w:rPr>
        <w:t xml:space="preserve">82.5%</w:t>
      </w:r>
      <w:r>
        <w:t xml:space="preserve">, weighted average rate</w:t>
      </w:r>
      <w:r>
        <w:t xml:space="preserve"> </w:t>
      </w:r>
      <w:r>
        <w:rPr>
          <w:b/>
          <w:bCs/>
        </w:rPr>
        <w:t xml:space="preserve">4.3%</w:t>
      </w:r>
      <w:r>
        <w:t xml:space="preserve"> </w:t>
      </w:r>
      <w:r>
        <w:t xml:space="preserve">as of Q1).</w:t>
      </w:r>
    </w:p>
    <w:p>
      <w:pPr>
        <w:pStyle w:val="BodyText"/>
      </w:pPr>
      <w:r>
        <w:rPr>
          <w:b/>
          <w:bCs/>
        </w:rPr>
        <w:t xml:space="preserve">8. External growth and buybacks.</w:t>
      </w:r>
      <w:r>
        <w:t xml:space="preserve"> </w:t>
      </w:r>
      <w:r>
        <w:t xml:space="preserve">EXR guided to just **</w:t>
      </w:r>
      <m:oMath>
        <m:r>
          <m:t>200</m:t>
        </m:r>
        <m:r>
          <m:t>m</m:t>
        </m:r>
        <m:r>
          <m:t>i</m:t>
        </m:r>
        <m:r>
          <m:t>l</m:t>
        </m:r>
        <m:r>
          <m:t>l</m:t>
        </m:r>
        <m:r>
          <m:t>i</m:t>
        </m:r>
        <m:r>
          <m:t>o</m:t>
        </m:r>
        <m:r>
          <m:t>n</m:t>
        </m:r>
        <m:r>
          <m:t>i</m:t>
        </m:r>
        <m:r>
          <m:t>n</m:t>
        </m:r>
        <m:r>
          <m:t>a</m:t>
        </m:r>
        <m:r>
          <m:t>c</m:t>
        </m:r>
        <m:r>
          <m:t>q</m:t>
        </m:r>
        <m:r>
          <m:t>u</m:t>
        </m:r>
        <m:r>
          <m:t>i</m:t>
        </m:r>
        <m:r>
          <m:t>s</m:t>
        </m:r>
        <m:r>
          <m:t>i</m:t>
        </m:r>
        <m:r>
          <m:t>t</m:t>
        </m:r>
        <m:r>
          <m:t>i</m:t>
        </m:r>
        <m:r>
          <m:t>o</m:t>
        </m:r>
        <m:r>
          <m:t>n</m:t>
        </m:r>
        <m:r>
          <m:t>s</m:t>
        </m:r>
        <m:r>
          <m:rPr>
            <m:sty m:val="p"/>
          </m:rPr>
          <m:t>*</m:t>
        </m:r>
        <m:r>
          <m:rPr>
            <m:sty m:val="p"/>
          </m:rPr>
          <m:t>*</m:t>
        </m:r>
        <m:r>
          <m:t>f</m:t>
        </m:r>
        <m:r>
          <m:t>o</m:t>
        </m:r>
        <m:r>
          <m:t>r</m:t>
        </m:r>
        <m:r>
          <m:t>2026</m:t>
        </m:r>
        <m:r>
          <m:t>g</m:t>
        </m:r>
        <m:r>
          <m:t>i</m:t>
        </m:r>
        <m:r>
          <m:t>v</m:t>
        </m:r>
        <m:r>
          <m:t>e</m:t>
        </m:r>
        <m:r>
          <m:t>n</m:t>
        </m:r>
        <m:r>
          <m:t>s</m:t>
        </m:r>
        <m:r>
          <m:t>t</m:t>
        </m:r>
        <m:r>
          <m:t>i</m:t>
        </m:r>
        <m:r>
          <m:t>l</m:t>
        </m:r>
        <m:r>
          <m:t>l</m:t>
        </m:r>
        <m:r>
          <m:rPr>
            <m:sty m:val="p"/>
          </m:rPr>
          <m:t>−</m:t>
        </m:r>
        <m:r>
          <m:t>a</m:t>
        </m:r>
        <m:r>
          <m:t>g</m:t>
        </m:r>
        <m:r>
          <m:t>g</m:t>
        </m:r>
        <m:r>
          <m:t>r</m:t>
        </m:r>
        <m:r>
          <m:t>e</m:t>
        </m:r>
        <m:r>
          <m:t>s</m:t>
        </m:r>
        <m:r>
          <m:t>s</m:t>
        </m:r>
        <m:r>
          <m:t>i</m:t>
        </m:r>
        <m:r>
          <m:t>v</m:t>
        </m:r>
        <m:r>
          <m:t>e</m:t>
        </m:r>
        <m:r>
          <m:t>c</m:t>
        </m:r>
        <m:r>
          <m:t>a</m:t>
        </m:r>
        <m:r>
          <m:t>p</m:t>
        </m:r>
        <m:r>
          <m:t>r</m:t>
        </m:r>
        <m:r>
          <m:t>a</m:t>
        </m:r>
        <m:r>
          <m:t>t</m:t>
        </m:r>
        <m:r>
          <m:t>e</m:t>
        </m:r>
        <m:r>
          <m:t>s</m:t>
        </m:r>
        <m:r>
          <m:rPr>
            <m:sty m:val="p"/>
          </m:rPr>
          <m:t>(</m:t>
        </m:r>
        <m:r>
          <m:t>m</m:t>
        </m:r>
        <m:r>
          <m:t>a</m:t>
        </m:r>
        <m:r>
          <m:t>n</m:t>
        </m:r>
        <m:r>
          <m:t>a</m:t>
        </m:r>
        <m:r>
          <m:t>g</m:t>
        </m:r>
        <m:r>
          <m:t>e</m:t>
        </m:r>
        <m:r>
          <m:t>m</m:t>
        </m:r>
        <m:r>
          <m:t>e</m:t>
        </m:r>
        <m:r>
          <m:t>n</m:t>
        </m:r>
        <m:r>
          <m:t>t</m:t>
        </m:r>
        <m:r>
          <m:t>n</m:t>
        </m:r>
        <m:r>
          <m:t>o</m:t>
        </m:r>
        <m:r>
          <m:t>t</m:t>
        </m:r>
        <m:r>
          <m:t>e</m:t>
        </m:r>
        <m:r>
          <m:t>d</m:t>
        </m:r>
        <m:r>
          <m:t>r</m:t>
        </m:r>
        <m:r>
          <m:t>e</m:t>
        </m:r>
        <m:r>
          <m:t>c</m:t>
        </m:r>
        <m:r>
          <m:t>e</m:t>
        </m:r>
        <m:r>
          <m:t>n</m:t>
        </m:r>
        <m:r>
          <m:t>t</m:t>
        </m:r>
        <m:r>
          <m:t>l</m:t>
        </m:r>
        <m:r>
          <m:t>a</m:t>
        </m:r>
        <m:r>
          <m:t>r</m:t>
        </m:r>
        <m:r>
          <m:t>g</m:t>
        </m:r>
        <m:r>
          <m:t>e</m:t>
        </m:r>
        <m:r>
          <m:t>d</m:t>
        </m:r>
        <m:r>
          <m:t>e</m:t>
        </m:r>
        <m:r>
          <m:t>a</m:t>
        </m:r>
        <m:r>
          <m:t>l</m:t>
        </m:r>
        <m:r>
          <m:t>s</m:t>
        </m:r>
        <m:r>
          <m:t>p</m:t>
        </m:r>
        <m:r>
          <m:t>r</m:t>
        </m:r>
        <m:r>
          <m:t>i</m:t>
        </m:r>
        <m:r>
          <m:t>c</m:t>
        </m:r>
        <m:r>
          <m:t>i</m:t>
        </m:r>
        <m:r>
          <m:t>n</m:t>
        </m:r>
        <m:r>
          <m:t>g</m:t>
        </m:r>
        <m:r>
          <m:t>a</m:t>
        </m:r>
        <m:r>
          <m:t>t</m:t>
        </m:r>
        <m:r>
          <m:t>s</m:t>
        </m:r>
        <m:r>
          <m:t>u</m:t>
        </m:r>
        <m:r>
          <m:t>b</m:t>
        </m:r>
        <m:r>
          <m:rPr>
            <m:sty m:val="p"/>
          </m:rPr>
          <m:t>−</m:t>
        </m:r>
        <m:r>
          <m:t>5</m:t>
        </m:r>
      </m:oMath>
      <w:r>
        <w:t xml:space="preserve">140M in Q4 2025 — watch for commentary on whether repurchases resumed in Q2 as the stock has moved higher.</w:t>
      </w:r>
    </w:p>
    <w:bookmarkEnd w:id="11"/>
    <w:bookmarkStart w:id="12" w:name="X3c63646c88d1c8f2ea1ecaf31e17d0af82b1aa7"/>
    <w:p>
      <w:pPr>
        <w:pStyle w:val="Heading2"/>
      </w:pPr>
      <w:r>
        <w:t xml:space="preserve">Balance Sheet &amp; Dividend Snapshot (as of Q1 2026)</w:t>
      </w:r>
    </w:p>
    <w:p>
      <w:pPr>
        <w:pStyle w:val="Compact"/>
        <w:numPr>
          <w:ilvl w:val="0"/>
          <w:numId w:val="1001"/>
        </w:numPr>
      </w:pPr>
      <w:r>
        <w:t xml:space="preserve">Core FFO guidance (unchanged since Q1):</w:t>
      </w:r>
      <w:r>
        <w:t xml:space="preserve"> </w:t>
      </w:r>
      <m:oMath>
        <m:r>
          <m:t>8.05</m:t>
        </m:r>
        <m:r>
          <m:rPr>
            <m:sty m:val="p"/>
          </m:rPr>
          <m:t>–</m:t>
        </m:r>
      </m:oMath>
      <w:r>
        <w:rPr>
          <w:b/>
          <w:bCs/>
        </w:rPr>
        <w:t xml:space="preserve">8.35</w:t>
      </w:r>
      <w:r>
        <w:t xml:space="preserve"> </w:t>
      </w:r>
      <w:r>
        <w:t xml:space="preserve">for FY2026</w:t>
      </w:r>
    </w:p>
    <w:p>
      <w:pPr>
        <w:pStyle w:val="Compact"/>
        <w:numPr>
          <w:ilvl w:val="0"/>
          <w:numId w:val="1001"/>
        </w:numPr>
      </w:pPr>
      <w:r>
        <w:t xml:space="preserve">Same-store revenue growth guidance:</w:t>
      </w:r>
      <w:r>
        <w:t xml:space="preserve"> </w:t>
      </w:r>
      <w:r>
        <w:rPr>
          <w:b/>
          <w:bCs/>
        </w:rPr>
        <w:t xml:space="preserve">-0.5% to +1.5%</w:t>
      </w:r>
    </w:p>
    <w:p>
      <w:pPr>
        <w:pStyle w:val="Compact"/>
        <w:numPr>
          <w:ilvl w:val="0"/>
          <w:numId w:val="1001"/>
        </w:numPr>
      </w:pPr>
      <w:r>
        <w:t xml:space="preserve">Same-store NOI growth guidance:</w:t>
      </w:r>
      <w:r>
        <w:t xml:space="preserve"> </w:t>
      </w:r>
      <w:r>
        <w:rPr>
          <w:b/>
          <w:bCs/>
        </w:rPr>
        <w:t xml:space="preserve">-2.25% to +1.25%</w:t>
      </w:r>
    </w:p>
    <w:p>
      <w:pPr>
        <w:pStyle w:val="Compact"/>
        <w:numPr>
          <w:ilvl w:val="0"/>
          <w:numId w:val="1001"/>
        </w:numPr>
      </w:pPr>
      <w:r>
        <w:t xml:space="preserve">Quarterly dividend: **</w:t>
      </w:r>
      <m:oMath>
        <m:r>
          <m:t>1.62</m:t>
        </m:r>
        <m:r>
          <m:rPr>
            <m:sty m:val="p"/>
          </m:rPr>
          <m:t>/</m:t>
        </m:r>
        <m:r>
          <m:t>s</m:t>
        </m:r>
        <m:r>
          <m:t>h</m:t>
        </m:r>
        <m:r>
          <m:t>a</m:t>
        </m:r>
        <m:r>
          <m:t>r</m:t>
        </m:r>
        <m:r>
          <m:t>e</m:t>
        </m:r>
        <m:r>
          <m:rPr>
            <m:sty m:val="p"/>
          </m:rPr>
          <m:t>*</m:t>
        </m:r>
        <m:r>
          <m:rPr>
            <m:sty m:val="p"/>
          </m:rPr>
          <m:t>*</m:t>
        </m:r>
        <m:r>
          <m:rPr>
            <m:sty m:val="p"/>
          </m:rPr>
          <m:t>(</m:t>
        </m:r>
        <m:r>
          <m:t>i</m:t>
        </m:r>
        <m:r>
          <m:t>m</m:t>
        </m:r>
        <m:r>
          <m:t>p</m:t>
        </m:r>
        <m:r>
          <m:t>l</m:t>
        </m:r>
        <m:r>
          <m:t>i</m:t>
        </m:r>
        <m:r>
          <m:t>e</m:t>
        </m:r>
        <m:r>
          <m:t>s</m:t>
        </m:r>
        <m:r>
          <m:t> </m:t>
        </m:r>
        <m:r>
          <m:t>4.4</m:t>
        </m:r>
      </m:oMath>
      <w:r>
        <w:t xml:space="preserve">148 stock price)</w:t>
      </w:r>
    </w:p>
    <w:p>
      <w:pPr>
        <w:pStyle w:val="Compact"/>
        <w:numPr>
          <w:ilvl w:val="0"/>
          <w:numId w:val="1001"/>
        </w:numPr>
      </w:pPr>
      <w:r>
        <w:t xml:space="preserve">Total debt: fixed-rate at 82.5% (92.9% effective), weighted average rate 4.3%, ~$2 billion of revolver capacity</w:t>
      </w:r>
    </w:p>
    <w:bookmarkEnd w:id="12"/>
    <w:bookmarkStart w:id="13" w:name="bottom-line"/>
    <w:p>
      <w:pPr>
        <w:pStyle w:val="Heading2"/>
      </w:pPr>
      <w:r>
        <w:t xml:space="preserve">Bottom Line</w:t>
      </w:r>
    </w:p>
    <w:p>
      <w:pPr>
        <w:pStyle w:val="FirstParagraph"/>
      </w:pPr>
      <w:r>
        <w:t xml:space="preserve">This print is less about the Q2 numbers themselves — consensus already expects a modest FFO beat consistent with EXR's recent beat streak (three of the last four quarters) — and much more about</w:t>
      </w:r>
      <w:r>
        <w:t xml:space="preserve"> </w:t>
      </w:r>
      <w:r>
        <w:rPr>
          <w:b/>
          <w:bCs/>
        </w:rPr>
        <w:t xml:space="preserve">whether management raises full-year guidance</w:t>
      </w:r>
      <w:r>
        <w:t xml:space="preserve"> </w:t>
      </w:r>
      <w:r>
        <w:t xml:space="preserve">now that the spring leasing season has played out. Commentary on Sunbelt recovery breadth, the trajectory of new-customer rate growth versus occupancy trade-offs, and any read-through from the newly consolidated PSA/NSA competitive landscape will be the key swing factors for how the stock trades post-print.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2026-07-28T01:39:00Z</dcterms:created>
  <dcterms:modified xsi:type="dcterms:W3CDTF">2026-07-28T01:39:00Z</dcterms:modified>
</cp:coreProperties>
</file>

<file path=docProps/custom.xml><?xml version="1.0" encoding="utf-8"?>
<Properties xmlns="http://schemas.openxmlformats.org/officeDocument/2006/custom-properties" xmlns:vt="http://schemas.openxmlformats.org/officeDocument/2006/docPropsVTypes"/>
</file>