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xr-earnings-predictions--2026-07-28"/>
    <w:p>
      <w:pPr>
        <w:pStyle w:val="Heading1"/>
      </w:pPr>
      <w:r>
        <w:t xml:space="preserve">EXR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FFO per share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~$2.08 vs. cons $2.06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Same-store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~1.9% vs. cons 1.7%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Same-store NOI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~3.0% vs. cons 2.5%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Core FFO per share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8.28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rPr>
                  <m:sty m:val="p"/>
                </m:rPr>
                <m:t>(</m:t>
              </m:r>
            </m:oMath>
            <w:r>
              <w:t xml:space="preserve">8.15-$8.40) vs. cons $8.26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Same-store revenue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~1.25% midpoint (0.5%-2.0%) vs. cons 1.30%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Same-store NOI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~0.75% midpoint (-0.25%-1.75%) vs. cons 0.60%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+0.8% (FADE)</w:t>
            </w:r>
          </w:p>
        </w:tc>
        <w:tc>
          <w:tcPr/>
          <w:p>
            <w:pPr>
              <w:pStyle w:val="Compact"/>
            </w:pPr>
            <w:r>
              <w:t xml:space="preserve">The operating beat should drive an initial positive reaction, but FY2026 same-store revenue guidance of ~1.25% versus consensus 1.30% implies second-half growth of only ~0.7% versus the Street near 0.8%, limiting estimate revisions and causing part of the day-1 move to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2026-07-28T01:36:04Z</dcterms:created>
  <dcterms:modified xsi:type="dcterms:W3CDTF">2026-07-28T01:36:04Z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