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6" w:name="Xad2ca9e45b5b10a2b54763f61ff28bab3d9ae93"/>
    <w:p>
      <w:pPr>
        <w:pStyle w:val="Heading1"/>
      </w:pPr>
      <w:r>
        <w:t xml:space="preserve">Extra Space Storage (NYSE: EXR) — 2026 Q2 Earnings Preview</w:t>
      </w:r>
    </w:p>
    <w:p>
      <w:pPr>
        <w:pStyle w:val="BlockText"/>
      </w:pPr>
      <w:r>
        <w:rPr>
          <w:b/>
          <w:bCs/>
        </w:rPr>
        <w:t xml:space="preserve">Timing clarification:</w:t>
      </w:r>
      <w:r>
        <w:t xml:space="preserve"> </w:t>
      </w:r>
      <w:r>
        <w:t xml:space="preserve">Extra Space is scheduled to</w:t>
      </w:r>
      <w:r>
        <w:t xml:space="preserve"> </w:t>
      </w:r>
      <w:r>
        <w:rPr>
          <w:b/>
          <w:bCs/>
        </w:rPr>
        <w:t xml:space="preserve">release Q2 results after the market closes today, Tuesday, July 28, 2026</w:t>
      </w:r>
      <w:r>
        <w:t xml:space="preserve">. The earnings call is</w:t>
      </w:r>
      <w:r>
        <w:t xml:space="preserve"> </w:t>
      </w:r>
      <w:r>
        <w:rPr>
          <w:b/>
          <w:bCs/>
        </w:rPr>
        <w:t xml:space="preserve">tomorrow, Wednesday, July 29, at 1:00 p.m. ET</w:t>
      </w:r>
      <w:r>
        <w:t xml:space="preserve">. (</w:t>
      </w:r>
      <w:hyperlink r:id="rId9">
        <w:r>
          <w:rPr>
            <w:rStyle w:val="Hyperlink"/>
          </w:rPr>
          <w:t xml:space="preserve">ir.extraspace.com</w:t>
        </w:r>
      </w:hyperlink>
      <w:r>
        <w:t xml:space="preserve">)</w:t>
      </w:r>
    </w:p>
    <w:bookmarkStart w:id="10" w:name="executive-view"/>
    <w:p>
      <w:pPr>
        <w:pStyle w:val="Heading2"/>
      </w:pPr>
      <w:r>
        <w:t xml:space="preserve">Executive view</w:t>
      </w:r>
    </w:p>
    <w:p>
      <w:pPr>
        <w:pStyle w:val="FirstParagraph"/>
      </w:pPr>
      <w:r>
        <w:t xml:space="preserve">EXR entered the second quarter with improving self-storage fundamentals, high occupancy, moderating new supply and first-quarter results that exceeded management’s internal expectations. The central question is no longer whether conditions have bottomed; it is whether the recovery is strong enough to produce a meaningful increase in 2026 guidance.</w:t>
      </w:r>
    </w:p>
    <w:p>
      <w:pPr>
        <w:pStyle w:val="BodyText"/>
      </w:pPr>
      <w:r>
        <w:t xml:space="preserve">The reported Core FFO number matters, but the stock’s reaction should depend more heavily on:</w:t>
      </w:r>
    </w:p>
    <w:p>
      <w:pPr>
        <w:pStyle w:val="Compact"/>
        <w:numPr>
          <w:ilvl w:val="0"/>
          <w:numId w:val="1001"/>
        </w:numPr>
      </w:pPr>
      <w:r>
        <w:rPr>
          <w:b/>
          <w:bCs/>
        </w:rPr>
        <w:t xml:space="preserve">Same-store revenue growth and leasing-season momentum</w:t>
      </w:r>
    </w:p>
    <w:p>
      <w:pPr>
        <w:pStyle w:val="Compact"/>
        <w:numPr>
          <w:ilvl w:val="0"/>
          <w:numId w:val="1001"/>
        </w:numPr>
      </w:pPr>
      <w:r>
        <w:rPr>
          <w:b/>
          <w:bCs/>
        </w:rPr>
        <w:t xml:space="preserve">Move-in rental rates versus occupancy</w:t>
      </w:r>
    </w:p>
    <w:p>
      <w:pPr>
        <w:pStyle w:val="Compact"/>
        <w:numPr>
          <w:ilvl w:val="0"/>
          <w:numId w:val="1001"/>
        </w:numPr>
      </w:pPr>
      <w:r>
        <w:rPr>
          <w:b/>
          <w:bCs/>
        </w:rPr>
        <w:t xml:space="preserve">The magnitude of any guidance increase</w:t>
      </w:r>
    </w:p>
    <w:p>
      <w:pPr>
        <w:pStyle w:val="Compact"/>
        <w:numPr>
          <w:ilvl w:val="0"/>
          <w:numId w:val="1001"/>
        </w:numPr>
      </w:pPr>
      <w:r>
        <w:rPr>
          <w:b/>
          <w:bCs/>
        </w:rPr>
        <w:t xml:space="preserve">June and July operating trends</w:t>
      </w:r>
    </w:p>
    <w:p>
      <w:pPr>
        <w:pStyle w:val="Compact"/>
        <w:numPr>
          <w:ilvl w:val="0"/>
          <w:numId w:val="1001"/>
        </w:numPr>
      </w:pPr>
      <w:r>
        <w:rPr>
          <w:b/>
          <w:bCs/>
        </w:rPr>
        <w:t xml:space="preserve">Evidence that Sunbelt markets are recovering</w:t>
      </w:r>
    </w:p>
    <w:p>
      <w:pPr>
        <w:pStyle w:val="Compact"/>
        <w:numPr>
          <w:ilvl w:val="0"/>
          <w:numId w:val="1001"/>
        </w:numPr>
      </w:pPr>
      <w:r>
        <w:rPr>
          <w:b/>
          <w:bCs/>
        </w:rPr>
        <w:t xml:space="preserve">Capital allocation given aggressive acquisition pricing</w:t>
      </w:r>
    </w:p>
    <w:p>
      <w:pPr>
        <w:pStyle w:val="FirstParagraph"/>
      </w:pPr>
      <w:r>
        <w:t xml:space="preserve">My bias is modestly positive going into the report. However, EXR has appreciated materially this year, so a small FFO beat accompanied by unchanged guidance may not be enough.</w:t>
      </w:r>
    </w:p>
    <w:p>
      <w:r>
        <w:pict>
          <v:rect style="width:0;height:1.5pt" o:hralign="center" o:hrstd="t" o:hr="t"/>
        </w:pict>
      </w:r>
    </w:p>
    <w:bookmarkEnd w:id="10"/>
    <w:bookmarkStart w:id="13" w:name="expectations-snapshot"/>
    <w:p>
      <w:pPr>
        <w:pStyle w:val="Heading2"/>
      </w:pPr>
      <w:r>
        <w:t xml:space="preserve">Expectations snapshot</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Q1 2026 actual</w:t>
            </w:r>
          </w:p>
        </w:tc>
        <w:tc>
          <w:tcPr/>
          <w:p>
            <w:pPr>
              <w:pStyle w:val="Compact"/>
              <w:jc w:val="right"/>
            </w:pPr>
            <w:r>
              <w:t xml:space="preserve">Existing FY2026 guidance</w:t>
            </w:r>
          </w:p>
        </w:tc>
        <w:tc>
          <w:tcPr/>
          <w:p>
            <w:pPr>
              <w:pStyle w:val="Compact"/>
              <w:jc w:val="right"/>
            </w:pPr>
            <w:r>
              <w:t xml:space="preserve">Q2 investor bar</w:t>
            </w:r>
          </w:p>
        </w:tc>
      </w:tr>
      <w:tr>
        <w:tc>
          <w:tcPr/>
          <w:p>
            <w:pPr>
              <w:pStyle w:val="Compact"/>
            </w:pPr>
            <w:r>
              <w:t xml:space="preserve">Core FFO/share</w:t>
            </w:r>
          </w:p>
        </w:tc>
        <w:tc>
          <w:tcPr/>
          <w:p>
            <w:pPr>
              <w:pStyle w:val="Compact"/>
              <w:jc w:val="right"/>
            </w:pPr>
            <w:r>
              <w:t xml:space="preserve">$2.04</w:t>
            </w:r>
          </w:p>
        </w:tc>
        <w:tc>
          <w:tcPr/>
          <w:p>
            <w:pPr>
              <w:pStyle w:val="Compact"/>
              <w:jc w:val="right"/>
            </w:pPr>
            <m:oMath>
              <m:r>
                <m:t>8.05</m:t>
              </m:r>
              <m:r>
                <m:rPr>
                  <m:sty m:val="p"/>
                </m:rPr>
                <m:t>–</m:t>
              </m:r>
            </m:oMath>
            <w:r>
              <w:t xml:space="preserve">8.35</w:t>
            </w:r>
          </w:p>
        </w:tc>
        <w:tc>
          <w:tcPr/>
          <w:p>
            <w:pPr>
              <w:pStyle w:val="Compact"/>
              <w:jc w:val="right"/>
            </w:pPr>
            <w:r>
              <w:t xml:space="preserve">Approximately</w:t>
            </w:r>
            <w:r>
              <w:t xml:space="preserve"> </w:t>
            </w:r>
            <m:oMath>
              <m:r>
                <m:t>2.05</m:t>
              </m:r>
              <m:r>
                <m:rPr>
                  <m:sty m:val="p"/>
                </m:rPr>
                <m:t>–</m:t>
              </m:r>
            </m:oMath>
            <w:r>
              <w:t xml:space="preserve">2.07</w:t>
            </w:r>
          </w:p>
        </w:tc>
      </w:tr>
      <w:tr>
        <w:tc>
          <w:tcPr/>
          <w:p>
            <w:pPr>
              <w:pStyle w:val="Compact"/>
            </w:pPr>
            <w:r>
              <w:t xml:space="preserve">Same-store revenue growth</w:t>
            </w:r>
          </w:p>
        </w:tc>
        <w:tc>
          <w:tcPr/>
          <w:p>
            <w:pPr>
              <w:pStyle w:val="Compact"/>
              <w:jc w:val="right"/>
            </w:pPr>
            <w:r>
              <w:t xml:space="preserve">1.7%</w:t>
            </w:r>
          </w:p>
        </w:tc>
        <w:tc>
          <w:tcPr/>
          <w:p>
            <w:pPr>
              <w:pStyle w:val="Compact"/>
              <w:jc w:val="right"/>
            </w:pPr>
            <w:r>
              <w:t xml:space="preserve">(0.5)%–1.5%</w:t>
            </w:r>
          </w:p>
        </w:tc>
        <w:tc>
          <w:tcPr/>
          <w:p>
            <w:pPr>
              <w:pStyle w:val="Compact"/>
              <w:jc w:val="right"/>
            </w:pPr>
            <w:r>
              <w:t xml:space="preserve">At least mid-1% range</w:t>
            </w:r>
          </w:p>
        </w:tc>
      </w:tr>
      <w:tr>
        <w:tc>
          <w:tcPr/>
          <w:p>
            <w:pPr>
              <w:pStyle w:val="Compact"/>
            </w:pPr>
            <w:r>
              <w:t xml:space="preserve">Same-store expense growth</w:t>
            </w:r>
          </w:p>
        </w:tc>
        <w:tc>
          <w:tcPr/>
          <w:p>
            <w:pPr>
              <w:pStyle w:val="Compact"/>
              <w:jc w:val="right"/>
            </w:pPr>
            <w:r>
              <w:t xml:space="preserve">2.7%</w:t>
            </w:r>
          </w:p>
        </w:tc>
        <w:tc>
          <w:tcPr/>
          <w:p>
            <w:pPr>
              <w:pStyle w:val="Compact"/>
              <w:jc w:val="right"/>
            </w:pPr>
            <w:r>
              <w:t xml:space="preserve">2.0%–3.5%</w:t>
            </w:r>
          </w:p>
        </w:tc>
        <w:tc>
          <w:tcPr/>
          <w:p>
            <w:pPr>
              <w:pStyle w:val="Compact"/>
              <w:jc w:val="right"/>
            </w:pPr>
            <w:r>
              <w:t xml:space="preserve">Favorable comparison with Q2 2025</w:t>
            </w:r>
          </w:p>
        </w:tc>
      </w:tr>
      <w:tr>
        <w:tc>
          <w:tcPr/>
          <w:p>
            <w:pPr>
              <w:pStyle w:val="Compact"/>
            </w:pPr>
            <w:r>
              <w:t xml:space="preserve">Same-store NOI growth</w:t>
            </w:r>
          </w:p>
        </w:tc>
        <w:tc>
          <w:tcPr/>
          <w:p>
            <w:pPr>
              <w:pStyle w:val="Compact"/>
              <w:jc w:val="right"/>
            </w:pPr>
            <w:r>
              <w:t xml:space="preserve">1.2%</w:t>
            </w:r>
          </w:p>
        </w:tc>
        <w:tc>
          <w:tcPr/>
          <w:p>
            <w:pPr>
              <w:pStyle w:val="Compact"/>
              <w:jc w:val="right"/>
            </w:pPr>
            <w:r>
              <w:t xml:space="preserve">(2.25)%–1.25%</w:t>
            </w:r>
          </w:p>
        </w:tc>
        <w:tc>
          <w:tcPr/>
          <w:p>
            <w:pPr>
              <w:pStyle w:val="Compact"/>
              <w:jc w:val="right"/>
            </w:pPr>
            <w:r>
              <w:t xml:space="preserve">Preferably above 2%</w:t>
            </w:r>
          </w:p>
        </w:tc>
      </w:tr>
      <w:tr>
        <w:tc>
          <w:tcPr/>
          <w:p>
            <w:pPr>
              <w:pStyle w:val="Compact"/>
            </w:pPr>
            <w:r>
              <w:t xml:space="preserve">Ending occupancy</w:t>
            </w:r>
          </w:p>
        </w:tc>
        <w:tc>
          <w:tcPr/>
          <w:p>
            <w:pPr>
              <w:pStyle w:val="Compact"/>
              <w:jc w:val="right"/>
            </w:pPr>
            <w:r>
              <w:t xml:space="preserve">93.0%</w:t>
            </w:r>
          </w:p>
        </w:tc>
        <w:tc>
          <w:tcPr/>
          <w:p>
            <w:pPr>
              <w:pStyle w:val="Compact"/>
              <w:jc w:val="right"/>
            </w:pPr>
            <w:r>
              <w:t xml:space="preserve">Not specified</w:t>
            </w:r>
          </w:p>
        </w:tc>
        <w:tc>
          <w:tcPr/>
          <w:p>
            <w:pPr>
              <w:pStyle w:val="Compact"/>
              <w:jc w:val="right"/>
            </w:pPr>
            <w:r>
              <w:t xml:space="preserve">Roughly flat to better than 94.6% prior-year level</w:t>
            </w:r>
          </w:p>
        </w:tc>
      </w:tr>
    </w:tbl>
    <w:p>
      <w:pPr>
        <w:pStyle w:val="BodyText"/>
      </w:pPr>
      <w:r>
        <w:t xml:space="preserve">Published earnings estimates cluster around</w:t>
      </w:r>
      <w:r>
        <w:t xml:space="preserve"> </w:t>
      </w:r>
      <m:oMath>
        <m:r>
          <m:t>2.05</m:t>
        </m:r>
        <m:r>
          <m:rPr>
            <m:sty m:val="p"/>
          </m:rPr>
          <m:t>–</m:t>
        </m:r>
      </m:oMath>
      <w:r>
        <w:rPr>
          <w:b/>
          <w:bCs/>
        </w:rPr>
        <w:t xml:space="preserve">2.07 for the quarter</w:t>
      </w:r>
      <w:r>
        <w:t xml:space="preserve"> </w:t>
      </w:r>
      <w:r>
        <w:t xml:space="preserve">and roughly</w:t>
      </w:r>
      <w:r>
        <w:t xml:space="preserve"> </w:t>
      </w:r>
      <m:oMath>
        <m:r>
          <m:t>8.24</m:t>
        </m:r>
        <m:r>
          <m:rPr>
            <m:sty m:val="p"/>
          </m:rPr>
          <m:t>–</m:t>
        </m:r>
      </m:oMath>
      <w:r>
        <w:rPr>
          <w:b/>
          <w:bCs/>
        </w:rPr>
        <w:t xml:space="preserve">8.26 for 2026</w:t>
      </w:r>
      <w:r>
        <w:t xml:space="preserve">. For a REIT, investors should focus on Core FFO rather than treating these estimates as comparable to GAAP EPS. (</w:t>
      </w:r>
      <w:hyperlink r:id="rId11">
        <w:r>
          <w:rPr>
            <w:rStyle w:val="Hyperlink"/>
          </w:rPr>
          <w:t xml:space="preserve">extraspace.gcs-web.com</w:t>
        </w:r>
      </w:hyperlink>
      <w:r>
        <w:t xml:space="preserve">)</w:t>
      </w:r>
    </w:p>
    <w:p>
      <w:pPr>
        <w:pStyle w:val="BodyText"/>
      </w:pPr>
      <w:r>
        <w:t xml:space="preserve">EXR reported Q1 Core FFO of $2.04, up 2%; same-store revenue increased 1.7%, same-store NOI rose 1.2%, and ending occupancy was 93.0%, only 20 basis points below the prior year. Existing guidance remains</w:t>
      </w:r>
      <w:r>
        <w:t xml:space="preserve"> </w:t>
      </w:r>
      <m:oMath>
        <m:r>
          <m:t>8.05</m:t>
        </m:r>
        <m:r>
          <m:rPr>
            <m:sty m:val="p"/>
          </m:rPr>
          <m:t>–</m:t>
        </m:r>
      </m:oMath>
      <w:r>
        <w:t xml:space="preserve">8.35 of Core FFO, with same-store revenue of negative 0.5% to positive 1.5% and same-store NOI of negative 2.25% to positive 1.25%. (</w:t>
      </w:r>
      <w:hyperlink r:id="rId12">
        <w:r>
          <w:rPr>
            <w:rStyle w:val="Hyperlink"/>
          </w:rPr>
          <w:t xml:space="preserve">ir.extraspace.com</w:t>
        </w:r>
      </w:hyperlink>
      <w:r>
        <w:t xml:space="preserve">)</w:t>
      </w:r>
    </w:p>
    <w:p>
      <w:r>
        <w:pict>
          <v:rect style="width:0;height:1.5pt" o:hralign="center" o:hrstd="t" o:hr="t"/>
        </w:pict>
      </w:r>
    </w:p>
    <w:bookmarkEnd w:id="13"/>
    <w:bookmarkStart w:id="16" w:name="Xf7758b3ca52ceaf5dbf52cef325950a1945ba03"/>
    <w:p>
      <w:pPr>
        <w:pStyle w:val="Heading2"/>
      </w:pPr>
      <w:r>
        <w:t xml:space="preserve">1. Leasing-season performance is the main event</w:t>
      </w:r>
    </w:p>
    <w:p>
      <w:pPr>
        <w:pStyle w:val="FirstParagraph"/>
      </w:pPr>
      <w:r>
        <w:t xml:space="preserve">Management said after Q1 that operating results had exceeded its internal expectations through April. That set up Q2 as the quarter in which investors should learn whether the improvement was durable or merely an easy-comparison effect.</w:t>
      </w:r>
    </w:p>
    <w:bookmarkStart w:id="14" w:name="what-would-constitute-a-good-result"/>
    <w:p>
      <w:pPr>
        <w:pStyle w:val="Heading3"/>
      </w:pPr>
      <w:r>
        <w:t xml:space="preserve">What would constitute a good result?</w:t>
      </w:r>
    </w:p>
    <w:p>
      <w:pPr>
        <w:pStyle w:val="FirstParagraph"/>
      </w:pPr>
      <w:r>
        <w:t xml:space="preserve">A constructive print would include:</w:t>
      </w:r>
    </w:p>
    <w:p>
      <w:pPr>
        <w:pStyle w:val="Compact"/>
        <w:numPr>
          <w:ilvl w:val="0"/>
          <w:numId w:val="1002"/>
        </w:numPr>
      </w:pPr>
      <w:r>
        <w:t xml:space="preserve">Same-store revenue growth holding near or above Q1’s 1.7%</w:t>
      </w:r>
    </w:p>
    <w:p>
      <w:pPr>
        <w:pStyle w:val="Compact"/>
        <w:numPr>
          <w:ilvl w:val="0"/>
          <w:numId w:val="1002"/>
        </w:numPr>
      </w:pPr>
      <w:r>
        <w:t xml:space="preserve">Positive year-over-year move-in rates</w:t>
      </w:r>
    </w:p>
    <w:p>
      <w:pPr>
        <w:pStyle w:val="Compact"/>
        <w:numPr>
          <w:ilvl w:val="0"/>
          <w:numId w:val="1002"/>
        </w:numPr>
      </w:pPr>
      <w:r>
        <w:t xml:space="preserve">Ending occupancy at least comparable with the</w:t>
      </w:r>
      <w:r>
        <w:t xml:space="preserve"> </w:t>
      </w:r>
      <w:r>
        <w:rPr>
          <w:b/>
          <w:bCs/>
        </w:rPr>
        <w:t xml:space="preserve">94.6% reported in Q2 2025</w:t>
      </w:r>
    </w:p>
    <w:p>
      <w:pPr>
        <w:pStyle w:val="Compact"/>
        <w:numPr>
          <w:ilvl w:val="0"/>
          <w:numId w:val="1002"/>
        </w:numPr>
      </w:pPr>
      <w:r>
        <w:t xml:space="preserve">Stable existing-customer rent increases</w:t>
      </w:r>
    </w:p>
    <w:p>
      <w:pPr>
        <w:pStyle w:val="Compact"/>
        <w:numPr>
          <w:ilvl w:val="0"/>
          <w:numId w:val="1002"/>
        </w:numPr>
      </w:pPr>
      <w:r>
        <w:t xml:space="preserve">Continued low bad debt and muted vacates</w:t>
      </w:r>
    </w:p>
    <w:p>
      <w:pPr>
        <w:pStyle w:val="Compact"/>
        <w:numPr>
          <w:ilvl w:val="0"/>
          <w:numId w:val="1002"/>
        </w:numPr>
      </w:pPr>
      <w:r>
        <w:t xml:space="preserve">Positive July commentary</w:t>
      </w:r>
    </w:p>
    <w:p>
      <w:pPr>
        <w:pStyle w:val="FirstParagraph"/>
      </w:pPr>
      <w:r>
        <w:t xml:space="preserve">The most important detail may be the balance between</w:t>
      </w:r>
      <w:r>
        <w:t xml:space="preserve"> </w:t>
      </w:r>
      <w:r>
        <w:rPr>
          <w:b/>
          <w:bCs/>
        </w:rPr>
        <w:t xml:space="preserve">street rates and occupancy</w:t>
      </w:r>
      <w:r>
        <w:t xml:space="preserve">. Q1 move-in rate growth moderated from approximately 5%–6% in January and February to roughly 1% in March, while the pricing system shifted toward capturing occupancy. That is not inherently negative—EXR optimizes total revenue—but investors need evidence that occupancy gains are not being purchased through aggressive discounting.</w:t>
      </w:r>
    </w:p>
    <w:bookmarkEnd w:id="14"/>
    <w:bookmarkStart w:id="15" w:name="key-question"/>
    <w:p>
      <w:pPr>
        <w:pStyle w:val="Heading3"/>
      </w:pPr>
      <w:r>
        <w:t xml:space="preserve">Key question</w:t>
      </w:r>
    </w:p>
    <w:p>
      <w:pPr>
        <w:pStyle w:val="FirstParagraph"/>
      </w:pPr>
      <w:r>
        <w:rPr>
          <w:b/>
          <w:bCs/>
        </w:rPr>
        <w:t xml:space="preserve">Did new-customer pricing strengthen during the peak leasing season, or did EXR primarily rely on occupancy and existing-customer increases to grow revenue?</w:t>
      </w:r>
    </w:p>
    <w:p>
      <w:pPr>
        <w:pStyle w:val="BodyText"/>
      </w:pPr>
      <w:r>
        <w:t xml:space="preserve">A report showing higher occupancy but flat or negative move-in rates would be less persuasive than one showing simultaneous improvement in occupancy and pricing.</w:t>
      </w:r>
    </w:p>
    <w:p>
      <w:r>
        <w:pict>
          <v:rect style="width:0;height:1.5pt" o:hralign="center" o:hrstd="t" o:hr="t"/>
        </w:pict>
      </w:r>
    </w:p>
    <w:bookmarkEnd w:id="15"/>
    <w:bookmarkEnd w:id="16"/>
    <w:bookmarkStart w:id="17" w:name="X226fb7fd85d9f63a6bd7dc331411c43133972c7"/>
    <w:p>
      <w:pPr>
        <w:pStyle w:val="Heading2"/>
      </w:pPr>
      <w:r>
        <w:t xml:space="preserve">2. Q2 should benefit from a favorable expense comparison</w:t>
      </w:r>
    </w:p>
    <w:p>
      <w:pPr>
        <w:pStyle w:val="FirstParagraph"/>
      </w:pPr>
      <w:r>
        <w:t xml:space="preserve">Second-quarter 2025 same-store expenses increased</w:t>
      </w:r>
      <w:r>
        <w:t xml:space="preserve"> </w:t>
      </w:r>
      <w:r>
        <w:rPr>
          <w:b/>
          <w:bCs/>
        </w:rPr>
        <w:t xml:space="preserve">8.6%</w:t>
      </w:r>
      <w:r>
        <w:t xml:space="preserve">, driven principally by property-tax reassessments following the Life Storage transaction. That creates an unusually favorable comparison for Q2 2026.</w:t>
      </w:r>
    </w:p>
    <w:p>
      <w:pPr>
        <w:pStyle w:val="BodyText"/>
      </w:pPr>
      <w:r>
        <w:t xml:space="preserve">As a result, same-store NOI could improve faster than revenue even if top-line growth remains around the mid-1% range. This is one reason the</w:t>
      </w:r>
      <w:r>
        <w:t xml:space="preserve"> </w:t>
      </w:r>
      <w:r>
        <w:rPr>
          <w:b/>
          <w:bCs/>
        </w:rPr>
        <w:t xml:space="preserve">NOI result may be more important than a one- or two-cent FFO variance</w:t>
      </w:r>
      <w:r>
        <w:t xml:space="preserve">.</w:t>
      </w:r>
    </w:p>
    <w:p>
      <w:pPr>
        <w:pStyle w:val="BodyText"/>
      </w:pPr>
      <w:r>
        <w:t xml:space="preserve">A strong outcome would be:</w:t>
      </w:r>
    </w:p>
    <w:p>
      <w:pPr>
        <w:pStyle w:val="Compact"/>
        <w:numPr>
          <w:ilvl w:val="0"/>
          <w:numId w:val="1003"/>
        </w:numPr>
      </w:pPr>
      <w:r>
        <w:t xml:space="preserve">Same-store expenses below the full-year 2.0%–3.5% range for the quarter</w:t>
      </w:r>
    </w:p>
    <w:p>
      <w:pPr>
        <w:pStyle w:val="Compact"/>
        <w:numPr>
          <w:ilvl w:val="0"/>
          <w:numId w:val="1003"/>
        </w:numPr>
      </w:pPr>
      <w:r>
        <w:t xml:space="preserve">Same-store NOI growth comfortably above the existing 1.25% full-year high end</w:t>
      </w:r>
    </w:p>
    <w:p>
      <w:pPr>
        <w:pStyle w:val="Compact"/>
        <w:numPr>
          <w:ilvl w:val="0"/>
          <w:numId w:val="1003"/>
        </w:numPr>
      </w:pPr>
      <w:r>
        <w:t xml:space="preserve">Confirmation that the May insurance renewal was flat or favorable, as management expected</w:t>
      </w:r>
    </w:p>
    <w:p>
      <w:pPr>
        <w:pStyle w:val="FirstParagraph"/>
      </w:pPr>
      <w:r>
        <w:t xml:space="preserve">Investors should not automatically annualize a strong Q2 expense result. Management previously warned that property-tax comparisons become more difficult in the second half.</w:t>
      </w:r>
    </w:p>
    <w:p>
      <w:r>
        <w:pict>
          <v:rect style="width:0;height:1.5pt" o:hralign="center" o:hrstd="t" o:hr="t"/>
        </w:pict>
      </w:r>
    </w:p>
    <w:bookmarkEnd w:id="17"/>
    <w:bookmarkStart w:id="21" w:name="X8bc005996600aebe70a5673c0e0d41264e13daa"/>
    <w:p>
      <w:pPr>
        <w:pStyle w:val="Heading2"/>
      </w:pPr>
      <w:r>
        <w:t xml:space="preserve">3. Guidance likely carries a higher bar than the reported quarter</w:t>
      </w:r>
    </w:p>
    <w:p>
      <w:pPr>
        <w:pStyle w:val="FirstParagraph"/>
      </w:pPr>
      <w:r>
        <w:t xml:space="preserve">EXR deliberately left guidance unchanged after Q1 despite operating above budget, saying it wanted to see the full leasing season before revisiting the outlook. This is now the promised reassessment quarter.</w:t>
      </w:r>
    </w:p>
    <w:bookmarkStart w:id="18" w:name="current-guidance"/>
    <w:p>
      <w:pPr>
        <w:pStyle w:val="Heading3"/>
      </w:pPr>
      <w:r>
        <w:t xml:space="preserve">Current guidance</w:t>
      </w:r>
    </w:p>
    <w:p>
      <w:pPr>
        <w:pStyle w:val="Compact"/>
        <w:numPr>
          <w:ilvl w:val="0"/>
          <w:numId w:val="1004"/>
        </w:numPr>
      </w:pPr>
      <w:r>
        <w:rPr>
          <w:b/>
          <w:bCs/>
        </w:rPr>
        <w:t xml:space="preserve">Core FFO:</w:t>
      </w:r>
      <w:r>
        <w:t xml:space="preserve"> </w:t>
      </w:r>
      <m:oMath>
        <m:r>
          <m:t>8.05</m:t>
        </m:r>
        <m:r>
          <m:rPr>
            <m:sty m:val="p"/>
          </m:rPr>
          <m:t>–</m:t>
        </m:r>
      </m:oMath>
      <w:r>
        <w:t xml:space="preserve">8.35</w:t>
      </w:r>
    </w:p>
    <w:p>
      <w:pPr>
        <w:pStyle w:val="Compact"/>
        <w:numPr>
          <w:ilvl w:val="0"/>
          <w:numId w:val="1004"/>
        </w:numPr>
      </w:pPr>
      <w:r>
        <w:rPr>
          <w:b/>
          <w:bCs/>
        </w:rPr>
        <w:t xml:space="preserve">Same-store revenue:</w:t>
      </w:r>
      <w:r>
        <w:t xml:space="preserve"> </w:t>
      </w:r>
      <w:r>
        <w:t xml:space="preserve">(0.5)%–1.5%</w:t>
      </w:r>
    </w:p>
    <w:p>
      <w:pPr>
        <w:pStyle w:val="Compact"/>
        <w:numPr>
          <w:ilvl w:val="0"/>
          <w:numId w:val="1004"/>
        </w:numPr>
      </w:pPr>
      <w:r>
        <w:rPr>
          <w:b/>
          <w:bCs/>
        </w:rPr>
        <w:t xml:space="preserve">Same-store expense:</w:t>
      </w:r>
      <w:r>
        <w:t xml:space="preserve"> </w:t>
      </w:r>
      <w:r>
        <w:t xml:space="preserve">2.0%–3.5%</w:t>
      </w:r>
    </w:p>
    <w:p>
      <w:pPr>
        <w:pStyle w:val="Compact"/>
        <w:numPr>
          <w:ilvl w:val="0"/>
          <w:numId w:val="1004"/>
        </w:numPr>
      </w:pPr>
      <w:r>
        <w:rPr>
          <w:b/>
          <w:bCs/>
        </w:rPr>
        <w:t xml:space="preserve">Same-store NOI:</w:t>
      </w:r>
      <w:r>
        <w:t xml:space="preserve"> </w:t>
      </w:r>
      <w:r>
        <w:t xml:space="preserve">(2.25)%–1.25%</w:t>
      </w:r>
    </w:p>
    <w:p>
      <w:pPr>
        <w:pStyle w:val="Compact"/>
        <w:numPr>
          <w:ilvl w:val="0"/>
          <w:numId w:val="1004"/>
        </w:numPr>
      </w:pPr>
      <w:r>
        <w:rPr>
          <w:b/>
          <w:bCs/>
        </w:rPr>
        <w:t xml:space="preserve">Acquisitions:</w:t>
      </w:r>
      <w:r>
        <w:t xml:space="preserve"> </w:t>
      </w:r>
      <w:r>
        <w:t xml:space="preserve">$200 million</w:t>
      </w:r>
    </w:p>
    <w:p>
      <w:pPr>
        <w:pStyle w:val="Compact"/>
        <w:numPr>
          <w:ilvl w:val="0"/>
          <w:numId w:val="1004"/>
        </w:numPr>
      </w:pPr>
      <w:r>
        <w:rPr>
          <w:b/>
          <w:bCs/>
        </w:rPr>
        <w:t xml:space="preserve">Average bridge-loan balance:</w:t>
      </w:r>
      <w:r>
        <w:t xml:space="preserve"> </w:t>
      </w:r>
      <w:r>
        <w:t xml:space="preserve">$1.475 billion</w:t>
      </w:r>
    </w:p>
    <w:p>
      <w:pPr>
        <w:pStyle w:val="FirstParagraph"/>
      </w:pPr>
      <w:r>
        <w:t xml:space="preserve">The Core FFO midpoint is $8.20. Q1 Core FFO of $2.04 leaves $6.16, or about $2.05 per quarter, required over the final three quarters to reach that midpoint. The earnings hurdle is therefore not especially demanding.</w:t>
      </w:r>
    </w:p>
    <w:bookmarkEnd w:id="18"/>
    <w:bookmarkStart w:id="19" w:name="what-the-market-probably-wants"/>
    <w:p>
      <w:pPr>
        <w:pStyle w:val="Heading3"/>
      </w:pPr>
      <w:r>
        <w:t xml:space="preserve">What the market probably wants</w:t>
      </w:r>
    </w:p>
    <w:p>
      <w:pPr>
        <w:pStyle w:val="FirstParagraph"/>
      </w:pPr>
      <w:r>
        <w:t xml:space="preserve">At minimum, I would expect EXR to:</w:t>
      </w:r>
    </w:p>
    <w:p>
      <w:pPr>
        <w:pStyle w:val="Compact"/>
        <w:numPr>
          <w:ilvl w:val="0"/>
          <w:numId w:val="1005"/>
        </w:numPr>
      </w:pPr>
      <w:r>
        <w:t xml:space="preserve">Raise the lower end of same-store revenue guidance</w:t>
      </w:r>
    </w:p>
    <w:p>
      <w:pPr>
        <w:pStyle w:val="Compact"/>
        <w:numPr>
          <w:ilvl w:val="0"/>
          <w:numId w:val="1005"/>
        </w:numPr>
      </w:pPr>
      <w:r>
        <w:t xml:space="preserve">Raise or materially tighten same-store NOI guidance</w:t>
      </w:r>
    </w:p>
    <w:p>
      <w:pPr>
        <w:pStyle w:val="Compact"/>
        <w:numPr>
          <w:ilvl w:val="0"/>
          <w:numId w:val="1005"/>
        </w:numPr>
      </w:pPr>
      <w:r>
        <w:t xml:space="preserve">Reaffirm or modestly increase Core FFO guidance</w:t>
      </w:r>
    </w:p>
    <w:p>
      <w:pPr>
        <w:pStyle w:val="FirstParagraph"/>
      </w:pPr>
      <w:r>
        <w:t xml:space="preserve">A Core FFO increase alone would be less valuable if it came from below-the-line items rather than stronger property operations.</w:t>
      </w:r>
    </w:p>
    <w:bookmarkEnd w:id="19"/>
    <w:bookmarkStart w:id="20" w:name="potential-disappointment"/>
    <w:p>
      <w:pPr>
        <w:pStyle w:val="Heading3"/>
      </w:pPr>
      <w:r>
        <w:t xml:space="preserve">Potential disappointment</w:t>
      </w:r>
    </w:p>
    <w:p>
      <w:pPr>
        <w:pStyle w:val="FirstParagraph"/>
      </w:pPr>
      <w:r>
        <w:t xml:space="preserve">A complete guidance reaffirmation could be interpreted negatively unless management explains that June and July trends remain well above the assumptions embedded in the range. Given Q1’s outperformance and the decision to defer an update until Q2, expectations appear to include at least some upward revision.</w:t>
      </w:r>
    </w:p>
    <w:p>
      <w:r>
        <w:pict>
          <v:rect style="width:0;height:1.5pt" o:hralign="center" o:hrstd="t" o:hr="t"/>
        </w:pict>
      </w:r>
    </w:p>
    <w:bookmarkEnd w:id="20"/>
    <w:bookmarkEnd w:id="21"/>
    <w:bookmarkStart w:id="22" w:name="X14e79466fcea616cfac63561b7480db605cafa5"/>
    <w:p>
      <w:pPr>
        <w:pStyle w:val="Heading2"/>
      </w:pPr>
      <w:r>
        <w:t xml:space="preserve">4. Sunbelt recovery needs to broaden</w:t>
      </w:r>
    </w:p>
    <w:p>
      <w:pPr>
        <w:pStyle w:val="FirstParagraph"/>
      </w:pPr>
      <w:r>
        <w:t xml:space="preserve">Lower development activity is the central bull case for storage fundamentals. EXR previously estimated that only about</w:t>
      </w:r>
      <w:r>
        <w:t xml:space="preserve"> </w:t>
      </w:r>
      <w:r>
        <w:rPr>
          <w:b/>
          <w:bCs/>
        </w:rPr>
        <w:t xml:space="preserve">6% of its same-store square footage</w:t>
      </w:r>
      <w:r>
        <w:t xml:space="preserve"> </w:t>
      </w:r>
      <w:r>
        <w:t xml:space="preserve">would have a new competitor delivered within its trade area in 2026, down from 8% in 2025 and much higher levels earlier in the cycle.</w:t>
      </w:r>
    </w:p>
    <w:p>
      <w:pPr>
        <w:pStyle w:val="BodyText"/>
      </w:pPr>
      <w:r>
        <w:t xml:space="preserve">Management highlighted improvement in:</w:t>
      </w:r>
    </w:p>
    <w:p>
      <w:pPr>
        <w:pStyle w:val="Compact"/>
        <w:numPr>
          <w:ilvl w:val="0"/>
          <w:numId w:val="1006"/>
        </w:numPr>
      </w:pPr>
      <w:r>
        <w:t xml:space="preserve">Atlanta</w:t>
      </w:r>
    </w:p>
    <w:p>
      <w:pPr>
        <w:pStyle w:val="Compact"/>
        <w:numPr>
          <w:ilvl w:val="0"/>
          <w:numId w:val="1006"/>
        </w:numPr>
      </w:pPr>
      <w:r>
        <w:t xml:space="preserve">Austin</w:t>
      </w:r>
    </w:p>
    <w:p>
      <w:pPr>
        <w:pStyle w:val="Compact"/>
        <w:numPr>
          <w:ilvl w:val="0"/>
          <w:numId w:val="1006"/>
        </w:numPr>
      </w:pPr>
      <w:r>
        <w:t xml:space="preserve">Dallas</w:t>
      </w:r>
    </w:p>
    <w:p>
      <w:pPr>
        <w:pStyle w:val="Compact"/>
        <w:numPr>
          <w:ilvl w:val="0"/>
          <w:numId w:val="1006"/>
        </w:numPr>
      </w:pPr>
      <w:r>
        <w:t xml:space="preserve">Miami</w:t>
      </w:r>
    </w:p>
    <w:p>
      <w:pPr>
        <w:pStyle w:val="Compact"/>
        <w:numPr>
          <w:ilvl w:val="0"/>
          <w:numId w:val="1006"/>
        </w:numPr>
      </w:pPr>
      <w:r>
        <w:t xml:space="preserve">Phoenix</w:t>
      </w:r>
    </w:p>
    <w:p>
      <w:pPr>
        <w:pStyle w:val="FirstParagraph"/>
      </w:pPr>
      <w:r>
        <w:t xml:space="preserve">But it continued to identify headwinds in:</w:t>
      </w:r>
    </w:p>
    <w:p>
      <w:pPr>
        <w:pStyle w:val="Compact"/>
        <w:numPr>
          <w:ilvl w:val="0"/>
          <w:numId w:val="1007"/>
        </w:numPr>
      </w:pPr>
      <w:r>
        <w:t xml:space="preserve">Houston</w:t>
      </w:r>
    </w:p>
    <w:p>
      <w:pPr>
        <w:pStyle w:val="Compact"/>
        <w:numPr>
          <w:ilvl w:val="0"/>
          <w:numId w:val="1007"/>
        </w:numPr>
      </w:pPr>
      <w:r>
        <w:t xml:space="preserve">Tampa</w:t>
      </w:r>
    </w:p>
    <w:p>
      <w:pPr>
        <w:pStyle w:val="Compact"/>
        <w:numPr>
          <w:ilvl w:val="0"/>
          <w:numId w:val="1007"/>
        </w:numPr>
      </w:pPr>
      <w:r>
        <w:t xml:space="preserve">Southwest Florida</w:t>
      </w:r>
    </w:p>
    <w:p>
      <w:pPr>
        <w:pStyle w:val="FirstParagraph"/>
      </w:pPr>
      <w:r>
        <w:t xml:space="preserve">Investors should examine the MSA supplemental carefully. Broadening improvement in Texas, Florida and other supply-heavy markets would support a multi-quarter recovery thesis. Continued strength concentrated in Chicago, Washington, D.C., the Midwest and coastal markets would be positive, but less convincing.</w:t>
      </w:r>
    </w:p>
    <w:p>
      <w:pPr>
        <w:pStyle w:val="BodyText"/>
      </w:pPr>
      <w:r>
        <w:t xml:space="preserve">The ideal result is not simply good national averages—it is a shrinking gap between the stronger coastal/Midwestern portfolio and the weaker Sunbelt assets.</w:t>
      </w:r>
    </w:p>
    <w:p>
      <w:r>
        <w:pict>
          <v:rect style="width:0;height:1.5pt" o:hralign="center" o:hrstd="t" o:hr="t"/>
        </w:pict>
      </w:r>
    </w:p>
    <w:bookmarkEnd w:id="22"/>
    <w:bookmarkStart w:id="23" w:name="X08fd4c55e67e86b19a24c7989472ae5bdf92519"/>
    <w:p>
      <w:pPr>
        <w:pStyle w:val="Heading2"/>
      </w:pPr>
      <w:r>
        <w:t xml:space="preserve">5. Existing-customer behavior remains an important downside check</w:t>
      </w:r>
    </w:p>
    <w:p>
      <w:pPr>
        <w:pStyle w:val="FirstParagraph"/>
      </w:pPr>
      <w:r>
        <w:t xml:space="preserve">EXR’s revenue model depends on gradually moving existing customers toward market rates. In Q1, management reported:</w:t>
      </w:r>
    </w:p>
    <w:p>
      <w:pPr>
        <w:pStyle w:val="Compact"/>
        <w:numPr>
          <w:ilvl w:val="0"/>
          <w:numId w:val="1008"/>
        </w:numPr>
      </w:pPr>
      <w:r>
        <w:t xml:space="preserve">No material change in churn caused by existing-customer rent increases</w:t>
      </w:r>
    </w:p>
    <w:p>
      <w:pPr>
        <w:pStyle w:val="Compact"/>
        <w:numPr>
          <w:ilvl w:val="0"/>
          <w:numId w:val="1008"/>
        </w:numPr>
      </w:pPr>
      <w:r>
        <w:t xml:space="preserve">Bad debt around 1.5%</w:t>
      </w:r>
    </w:p>
    <w:p>
      <w:pPr>
        <w:pStyle w:val="Compact"/>
        <w:numPr>
          <w:ilvl w:val="0"/>
          <w:numId w:val="1008"/>
        </w:numPr>
      </w:pPr>
      <w:r>
        <w:t xml:space="preserve">Historically muted vacates</w:t>
      </w:r>
    </w:p>
    <w:p>
      <w:pPr>
        <w:pStyle w:val="Compact"/>
        <w:numPr>
          <w:ilvl w:val="0"/>
          <w:numId w:val="1008"/>
        </w:numPr>
      </w:pPr>
      <w:r>
        <w:t xml:space="preserve">Longer tenant stays</w:t>
      </w:r>
    </w:p>
    <w:p>
      <w:pPr>
        <w:pStyle w:val="Compact"/>
        <w:numPr>
          <w:ilvl w:val="0"/>
          <w:numId w:val="1008"/>
        </w:numPr>
      </w:pPr>
      <w:r>
        <w:t xml:space="preserve">Approximately 64% of customers staying more than 12 months</w:t>
      </w:r>
    </w:p>
    <w:p>
      <w:pPr>
        <w:pStyle w:val="Compact"/>
        <w:numPr>
          <w:ilvl w:val="0"/>
          <w:numId w:val="1008"/>
        </w:numPr>
      </w:pPr>
      <w:r>
        <w:t xml:space="preserve">Approximately 46% staying more than 24 months</w:t>
      </w:r>
    </w:p>
    <w:p>
      <w:pPr>
        <w:pStyle w:val="FirstParagraph"/>
      </w:pPr>
      <w:r>
        <w:t xml:space="preserve">Those metrics should remain stable. A deterioration in bad debt, vacates or rent-increase acceptance would challenge the thesis that consumer weakness has not reached the storage portfolio.</w:t>
      </w:r>
    </w:p>
    <w:p>
      <w:pPr>
        <w:pStyle w:val="BodyText"/>
      </w:pPr>
      <w:r>
        <w:t xml:space="preserve">Los Angeles also remains a constraint. EXR had embedded an estimated</w:t>
      </w:r>
      <w:r>
        <w:t xml:space="preserve"> </w:t>
      </w:r>
      <w:r>
        <w:rPr>
          <w:b/>
          <w:bCs/>
        </w:rPr>
        <w:t xml:space="preserve">40-basis-point full-year revenue headwind</w:t>
      </w:r>
      <w:r>
        <w:t xml:space="preserve"> </w:t>
      </w:r>
      <w:r>
        <w:t xml:space="preserve">from rent restrictions associated with the Los Angeles County state of emergency, assuming the restrictions remain in effect throughout 2026. Investors should listen for any change to that assumption.</w:t>
      </w:r>
    </w:p>
    <w:p>
      <w:r>
        <w:pict>
          <v:rect style="width:0;height:1.5pt" o:hralign="center" o:hrstd="t" o:hr="t"/>
        </w:pict>
      </w:r>
    </w:p>
    <w:bookmarkEnd w:id="23"/>
    <w:bookmarkStart w:id="26" w:name="X0f0a9f752391d4c0a360e481aacd64f057ca870"/>
    <w:p>
      <w:pPr>
        <w:pStyle w:val="Heading2"/>
      </w:pPr>
      <w:r>
        <w:t xml:space="preserve">6. External growth is useful, but discipline matters more than volume</w:t>
      </w:r>
    </w:p>
    <w:p>
      <w:pPr>
        <w:pStyle w:val="FirstParagraph"/>
      </w:pPr>
      <w:r>
        <w:t xml:space="preserve">The acquisition market remained expensive in Q1. Management cited recent transactions priced below 5% initial yields and indicated that most opportunities were in the 5% range—often not attractive relative to EXR’s cost of capital.</w:t>
      </w:r>
    </w:p>
    <w:p>
      <w:pPr>
        <w:pStyle w:val="BodyText"/>
      </w:pPr>
      <w:r>
        <w:t xml:space="preserve">That makes several disclosures important:</w:t>
      </w:r>
    </w:p>
    <w:p>
      <w:pPr>
        <w:pStyle w:val="Compact"/>
        <w:numPr>
          <w:ilvl w:val="0"/>
          <w:numId w:val="1009"/>
        </w:numPr>
      </w:pPr>
      <w:r>
        <w:t xml:space="preserve">Acquisitions completed and under contract</w:t>
      </w:r>
    </w:p>
    <w:p>
      <w:pPr>
        <w:pStyle w:val="Compact"/>
        <w:numPr>
          <w:ilvl w:val="0"/>
          <w:numId w:val="1009"/>
        </w:numPr>
      </w:pPr>
      <w:r>
        <w:t xml:space="preserve">Use of joint ventures to improve returns</w:t>
      </w:r>
    </w:p>
    <w:p>
      <w:pPr>
        <w:pStyle w:val="Compact"/>
        <w:numPr>
          <w:ilvl w:val="0"/>
          <w:numId w:val="1009"/>
        </w:numPr>
      </w:pPr>
      <w:r>
        <w:t xml:space="preserve">Dispositions and any additional stock repurchases</w:t>
      </w:r>
    </w:p>
    <w:p>
      <w:pPr>
        <w:pStyle w:val="Compact"/>
        <w:numPr>
          <w:ilvl w:val="0"/>
          <w:numId w:val="1009"/>
        </w:numPr>
      </w:pPr>
      <w:r>
        <w:t xml:space="preserve">Bridge-loan originations and repayments</w:t>
      </w:r>
    </w:p>
    <w:p>
      <w:pPr>
        <w:pStyle w:val="Compact"/>
        <w:numPr>
          <w:ilvl w:val="0"/>
          <w:numId w:val="1009"/>
        </w:numPr>
      </w:pPr>
      <w:r>
        <w:t xml:space="preserve">Third-party management additions</w:t>
      </w:r>
    </w:p>
    <w:bookmarkStart w:id="24" w:name="third-party-management"/>
    <w:p>
      <w:pPr>
        <w:pStyle w:val="Heading3"/>
      </w:pPr>
      <w:r>
        <w:t xml:space="preserve">Third-party management</w:t>
      </w:r>
    </w:p>
    <w:p>
      <w:pPr>
        <w:pStyle w:val="FirstParagraph"/>
      </w:pPr>
      <w:r>
        <w:t xml:space="preserve">This remains one of EXR’s clearest competitive advantages. The company added</w:t>
      </w:r>
      <w:r>
        <w:t xml:space="preserve"> </w:t>
      </w:r>
      <w:r>
        <w:rPr>
          <w:b/>
          <w:bCs/>
        </w:rPr>
        <w:t xml:space="preserve">60 net stores</w:t>
      </w:r>
      <w:r>
        <w:t xml:space="preserve"> </w:t>
      </w:r>
      <w:r>
        <w:t xml:space="preserve">to the platform in Q1 and ended March with</w:t>
      </w:r>
      <w:r>
        <w:t xml:space="preserve"> </w:t>
      </w:r>
      <w:r>
        <w:rPr>
          <w:b/>
          <w:bCs/>
        </w:rPr>
        <w:t xml:space="preserve">1,916 third-party-managed properties</w:t>
      </w:r>
      <w:r>
        <w:t xml:space="preserve">. Continued net additions around the recent pace would provide fee growth with limited capital requirements. (</w:t>
      </w:r>
      <w:hyperlink r:id="rId12">
        <w:r>
          <w:rPr>
            <w:rStyle w:val="Hyperlink"/>
          </w:rPr>
          <w:t xml:space="preserve">ir.extraspace.com</w:t>
        </w:r>
      </w:hyperlink>
      <w:r>
        <w:t xml:space="preserve">)</w:t>
      </w:r>
    </w:p>
    <w:bookmarkEnd w:id="24"/>
    <w:bookmarkStart w:id="25" w:name="bridge-lending"/>
    <w:p>
      <w:pPr>
        <w:pStyle w:val="Heading3"/>
      </w:pPr>
      <w:r>
        <w:t xml:space="preserve">Bridge lending</w:t>
      </w:r>
    </w:p>
    <w:p>
      <w:pPr>
        <w:pStyle w:val="FirstParagraph"/>
      </w:pPr>
      <w:r>
        <w:t xml:space="preserve">Q1 originations were only $5.5 million, although the outstanding balance remained approximately $1.5 billion and another $102 million had subsequently closed or was under agreement. The quarter should indicate whether the originations slowdown was timing-related or reflects weaker transaction and development activity.</w:t>
      </w:r>
    </w:p>
    <w:p>
      <w:pPr>
        <w:pStyle w:val="BodyText"/>
      </w:pPr>
      <w:r>
        <w:t xml:space="preserve">A stable loan book is fine; rapid expansion would require scrutiny of credit quality and underwriting as the cycle evolves.</w:t>
      </w:r>
    </w:p>
    <w:p>
      <w:r>
        <w:pict>
          <v:rect style="width:0;height:1.5pt" o:hralign="center" o:hrstd="t" o:hr="t"/>
        </w:pict>
      </w:r>
    </w:p>
    <w:bookmarkEnd w:id="25"/>
    <w:bookmarkEnd w:id="26"/>
    <w:bookmarkStart w:id="28" w:name="X7793097dde4cbf3cba5dcd864d49325a727af0b"/>
    <w:p>
      <w:pPr>
        <w:pStyle w:val="Heading2"/>
      </w:pPr>
      <w:r>
        <w:t xml:space="preserve">7. Balance sheet: recent financing reduces near-term risk</w:t>
      </w:r>
    </w:p>
    <w:p>
      <w:pPr>
        <w:pStyle w:val="FirstParagraph"/>
      </w:pPr>
      <w:r>
        <w:t xml:space="preserve">In July, EXR completed a</w:t>
      </w:r>
      <w:r>
        <w:t xml:space="preserve"> </w:t>
      </w:r>
      <w:r>
        <w:rPr>
          <w:b/>
          <w:bCs/>
        </w:rPr>
        <w:t xml:space="preserve">$550 million offering of 4.9% senior unsecured notes due February 2032</w:t>
      </w:r>
      <w:r>
        <w:t xml:space="preserve">. Proceeds were designated to repay revolver and commercial-paper balances, fund general corporate purposes and potentially support acquisitions. (</w:t>
      </w:r>
      <w:hyperlink r:id="rId27">
        <w:r>
          <w:rPr>
            <w:rStyle w:val="Hyperlink"/>
          </w:rPr>
          <w:t xml:space="preserve">ir.extraspace.com</w:t>
        </w:r>
      </w:hyperlink>
      <w:r>
        <w:t xml:space="preserve">)</w:t>
      </w:r>
    </w:p>
    <w:p>
      <w:pPr>
        <w:pStyle w:val="BodyText"/>
      </w:pPr>
      <w:r>
        <w:t xml:space="preserve">This effectively terms out shorter-duration borrowings and improves funding certainty. The rate is above EXR’s Q1 combined average debt cost of 4.3%, so the transaction is not an immediate earnings tailwind, but it reduces refinancing and liquidity risk.</w:t>
      </w:r>
    </w:p>
    <w:p>
      <w:pPr>
        <w:pStyle w:val="BodyText"/>
      </w:pPr>
      <w:r>
        <w:t xml:space="preserve">At the end of Q1:</w:t>
      </w:r>
    </w:p>
    <w:p>
      <w:pPr>
        <w:pStyle w:val="Compact"/>
        <w:numPr>
          <w:ilvl w:val="0"/>
          <w:numId w:val="1010"/>
        </w:numPr>
      </w:pPr>
      <w:r>
        <w:t xml:space="preserve">82.5% of debt was fixed-rate</w:t>
      </w:r>
    </w:p>
    <w:p>
      <w:pPr>
        <w:pStyle w:val="Compact"/>
        <w:numPr>
          <w:ilvl w:val="0"/>
          <w:numId w:val="1010"/>
        </w:numPr>
      </w:pPr>
      <w:r>
        <w:t xml:space="preserve">The effective fixed-rate percentage was 92.9% after variable-rate receivables</w:t>
      </w:r>
    </w:p>
    <w:p>
      <w:pPr>
        <w:pStyle w:val="Compact"/>
        <w:numPr>
          <w:ilvl w:val="0"/>
          <w:numId w:val="1010"/>
        </w:numPr>
      </w:pPr>
      <w:r>
        <w:t xml:space="preserve">Weighted-average interest cost was 4.3%</w:t>
      </w:r>
    </w:p>
    <w:p>
      <w:pPr>
        <w:pStyle w:val="Compact"/>
        <w:numPr>
          <w:ilvl w:val="0"/>
          <w:numId w:val="1010"/>
        </w:numPr>
      </w:pPr>
      <w:r>
        <w:t xml:space="preserve">Weighted-average maturity was approximately 4.3 years</w:t>
      </w:r>
    </w:p>
    <w:p>
      <w:pPr>
        <w:pStyle w:val="Compact"/>
        <w:numPr>
          <w:ilvl w:val="0"/>
          <w:numId w:val="1010"/>
        </w:numPr>
      </w:pPr>
      <w:r>
        <w:t xml:space="preserve">Commercial paper outstanding was $850 million (</w:t>
      </w:r>
      <w:hyperlink r:id="rId12">
        <w:r>
          <w:rPr>
            <w:rStyle w:val="Hyperlink"/>
          </w:rPr>
          <w:t xml:space="preserve">ir.extraspace.com</w:t>
        </w:r>
      </w:hyperlink>
      <w:r>
        <w:t xml:space="preserve">)</w:t>
      </w:r>
    </w:p>
    <w:p>
      <w:pPr>
        <w:pStyle w:val="FirstParagraph"/>
      </w:pPr>
      <w:r>
        <w:t xml:space="preserve">Watch for an updated commercial-paper balance, leverage metrics and whether management signals that the new debt provides capacity for acquisitions rather than merely refinancing existing borrowings.</w:t>
      </w:r>
    </w:p>
    <w:p>
      <w:r>
        <w:pict>
          <v:rect style="width:0;height:1.5pt" o:hralign="center" o:hrstd="t" o:hr="t"/>
        </w:pict>
      </w:r>
    </w:p>
    <w:bookmarkEnd w:id="28"/>
    <w:bookmarkStart w:id="29" w:name="valuation-and-setup"/>
    <w:p>
      <w:pPr>
        <w:pStyle w:val="Heading2"/>
      </w:pPr>
      <w:r>
        <w:t xml:space="preserve">Valuation and setup</w:t>
      </w:r>
    </w:p>
    <w:p>
      <w:pPr>
        <w:pStyle w:val="FirstParagraph"/>
      </w:pPr>
      <w:r>
        <w:t xml:space="preserve">Using EXR’s July 27 close of</w:t>
      </w:r>
      <w:r>
        <w:t xml:space="preserve"> </w:t>
      </w:r>
      <w:r>
        <w:rPr>
          <w:b/>
          <w:bCs/>
        </w:rPr>
        <w:t xml:space="preserve">$148.32</w:t>
      </w:r>
      <w:r>
        <w:t xml:space="preserve">:</w:t>
      </w:r>
    </w:p>
    <w:p>
      <w:pPr>
        <w:pStyle w:val="Compact"/>
        <w:numPr>
          <w:ilvl w:val="0"/>
          <w:numId w:val="1011"/>
        </w:numPr>
      </w:pPr>
      <w:r>
        <w:t xml:space="preserve">The stock is up approximately</w:t>
      </w:r>
      <w:r>
        <w:t xml:space="preserve"> </w:t>
      </w:r>
      <w:r>
        <w:rPr>
          <w:b/>
          <w:bCs/>
        </w:rPr>
        <w:t xml:space="preserve">14% year to date</w:t>
      </w:r>
    </w:p>
    <w:p>
      <w:pPr>
        <w:pStyle w:val="Compact"/>
        <w:numPr>
          <w:ilvl w:val="0"/>
          <w:numId w:val="1011"/>
        </w:numPr>
      </w:pPr>
      <w:r>
        <w:t xml:space="preserve">It trades at roughly</w:t>
      </w:r>
      <w:r>
        <w:t xml:space="preserve"> </w:t>
      </w:r>
      <w:r>
        <w:rPr>
          <w:b/>
          <w:bCs/>
        </w:rPr>
        <w:t xml:space="preserve">18.1 times</w:t>
      </w:r>
      <w:r>
        <w:t xml:space="preserve"> </w:t>
      </w:r>
      <w:r>
        <w:t xml:space="preserve">the $8.20 guidance midpoint</w:t>
      </w:r>
    </w:p>
    <w:p>
      <w:pPr>
        <w:pStyle w:val="Compact"/>
        <w:numPr>
          <w:ilvl w:val="0"/>
          <w:numId w:val="1011"/>
        </w:numPr>
      </w:pPr>
      <w:r>
        <w:t xml:space="preserve">The annualized $6.48 dividend implies a yield of approximately</w:t>
      </w:r>
      <w:r>
        <w:t xml:space="preserve"> </w:t>
      </w:r>
      <w:r>
        <w:rPr>
          <w:b/>
          <w:bCs/>
        </w:rPr>
        <w:t xml:space="preserve">4.4%</w:t>
      </w:r>
    </w:p>
    <w:p>
      <w:pPr>
        <w:pStyle w:val="Compact"/>
        <w:numPr>
          <w:ilvl w:val="0"/>
          <w:numId w:val="1011"/>
        </w:numPr>
      </w:pPr>
      <w:r>
        <w:t xml:space="preserve">The stock is about 5% above its closing price on the Q1 reporting date</w:t>
      </w:r>
    </w:p>
    <w:p>
      <w:pPr>
        <w:pStyle w:val="FirstParagraph"/>
      </w:pPr>
      <w:r>
        <w:t xml:space="preserve">This is not an extreme valuation for a high-quality storage platform, but it does imply that investors already expect improving fundamentals. The setup favors companies that raise same-store guidance and provide convincing forward commentary; a routine beat is less likely to create substantial upside by itself.</w:t>
      </w:r>
    </w:p>
    <w:p>
      <w:r>
        <w:pict>
          <v:rect style="width:0;height:1.5pt" o:hralign="center" o:hrstd="t" o:hr="t"/>
        </w:pict>
      </w:r>
    </w:p>
    <w:bookmarkEnd w:id="29"/>
    <w:bookmarkStart w:id="33" w:name="scenario-framework"/>
    <w:p>
      <w:pPr>
        <w:pStyle w:val="Heading2"/>
      </w:pPr>
      <w:r>
        <w:t xml:space="preserve">Scenario framework</w:t>
      </w:r>
    </w:p>
    <w:bookmarkStart w:id="30" w:name="bull-case"/>
    <w:p>
      <w:pPr>
        <w:pStyle w:val="Heading3"/>
      </w:pPr>
      <w:r>
        <w:t xml:space="preserve">Bull case</w:t>
      </w:r>
    </w:p>
    <w:p>
      <w:pPr>
        <w:pStyle w:val="Compact"/>
        <w:numPr>
          <w:ilvl w:val="0"/>
          <w:numId w:val="1012"/>
        </w:numPr>
      </w:pPr>
      <w:r>
        <w:t xml:space="preserve">Core FFO of at least $2.07</w:t>
      </w:r>
    </w:p>
    <w:p>
      <w:pPr>
        <w:pStyle w:val="Compact"/>
        <w:numPr>
          <w:ilvl w:val="0"/>
          <w:numId w:val="1012"/>
        </w:numPr>
      </w:pPr>
      <w:r>
        <w:t xml:space="preserve">Same-store revenue near or above 2%</w:t>
      </w:r>
    </w:p>
    <w:p>
      <w:pPr>
        <w:pStyle w:val="Compact"/>
        <w:numPr>
          <w:ilvl w:val="0"/>
          <w:numId w:val="1012"/>
        </w:numPr>
      </w:pPr>
      <w:r>
        <w:t xml:space="preserve">Same-store NOI above 3%</w:t>
      </w:r>
    </w:p>
    <w:p>
      <w:pPr>
        <w:pStyle w:val="Compact"/>
        <w:numPr>
          <w:ilvl w:val="0"/>
          <w:numId w:val="1012"/>
        </w:numPr>
      </w:pPr>
      <w:r>
        <w:t xml:space="preserve">Occupancy at or above the prior-year level</w:t>
      </w:r>
    </w:p>
    <w:p>
      <w:pPr>
        <w:pStyle w:val="Compact"/>
        <w:numPr>
          <w:ilvl w:val="0"/>
          <w:numId w:val="1012"/>
        </w:numPr>
      </w:pPr>
      <w:r>
        <w:t xml:space="preserve">Move-in rates remain positive through June and July</w:t>
      </w:r>
    </w:p>
    <w:p>
      <w:pPr>
        <w:pStyle w:val="Compact"/>
        <w:numPr>
          <w:ilvl w:val="0"/>
          <w:numId w:val="1012"/>
        </w:numPr>
      </w:pPr>
      <w:r>
        <w:t xml:space="preserve">Meaningful increase in same-store and Core FFO guidance</w:t>
      </w:r>
    </w:p>
    <w:p>
      <w:pPr>
        <w:pStyle w:val="Compact"/>
        <w:numPr>
          <w:ilvl w:val="0"/>
          <w:numId w:val="1012"/>
        </w:numPr>
      </w:pPr>
      <w:r>
        <w:t xml:space="preserve">Broadening Sunbelt recovery</w:t>
      </w:r>
    </w:p>
    <w:p>
      <w:pPr>
        <w:pStyle w:val="FirstParagraph"/>
      </w:pPr>
      <w:r>
        <w:rPr>
          <w:b/>
          <w:bCs/>
        </w:rPr>
        <w:t xml:space="preserve">Likely interpretation:</w:t>
      </w:r>
      <w:r>
        <w:t xml:space="preserve"> </w:t>
      </w:r>
      <w:r>
        <w:t xml:space="preserve">The storage recovery is progressing faster than expected and could extend into 2027 as supply continues to moderate.</w:t>
      </w:r>
    </w:p>
    <w:bookmarkEnd w:id="30"/>
    <w:bookmarkStart w:id="31" w:name="base-case"/>
    <w:p>
      <w:pPr>
        <w:pStyle w:val="Heading3"/>
      </w:pPr>
      <w:r>
        <w:t xml:space="preserve">Base case</w:t>
      </w:r>
    </w:p>
    <w:p>
      <w:pPr>
        <w:pStyle w:val="Compact"/>
        <w:numPr>
          <w:ilvl w:val="0"/>
          <w:numId w:val="1013"/>
        </w:numPr>
      </w:pPr>
      <w:r>
        <w:t xml:space="preserve">Core FFO around</w:t>
      </w:r>
      <w:r>
        <w:t xml:space="preserve"> </w:t>
      </w:r>
      <m:oMath>
        <m:r>
          <m:t>2.05</m:t>
        </m:r>
        <m:r>
          <m:rPr>
            <m:sty m:val="p"/>
          </m:rPr>
          <m:t>–</m:t>
        </m:r>
      </m:oMath>
      <w:r>
        <w:t xml:space="preserve">2.07</w:t>
      </w:r>
    </w:p>
    <w:p>
      <w:pPr>
        <w:pStyle w:val="Compact"/>
        <w:numPr>
          <w:ilvl w:val="0"/>
          <w:numId w:val="1013"/>
        </w:numPr>
      </w:pPr>
      <w:r>
        <w:t xml:space="preserve">Same-store revenue in the 1.5%–2.0% area</w:t>
      </w:r>
    </w:p>
    <w:p>
      <w:pPr>
        <w:pStyle w:val="Compact"/>
        <w:numPr>
          <w:ilvl w:val="0"/>
          <w:numId w:val="1013"/>
        </w:numPr>
      </w:pPr>
      <w:r>
        <w:t xml:space="preserve">NOI growth exceeds revenue because of easier expense comparisons</w:t>
      </w:r>
    </w:p>
    <w:p>
      <w:pPr>
        <w:pStyle w:val="Compact"/>
        <w:numPr>
          <w:ilvl w:val="0"/>
          <w:numId w:val="1013"/>
        </w:numPr>
      </w:pPr>
      <w:r>
        <w:t xml:space="preserve">Occupancy remains high, but move-in pricing is only modestly positive</w:t>
      </w:r>
    </w:p>
    <w:p>
      <w:pPr>
        <w:pStyle w:val="Compact"/>
        <w:numPr>
          <w:ilvl w:val="0"/>
          <w:numId w:val="1013"/>
        </w:numPr>
      </w:pPr>
      <w:r>
        <w:t xml:space="preserve">Same-store guidance is raised; Core FFO guidance is tightened or increased slightly</w:t>
      </w:r>
    </w:p>
    <w:p>
      <w:pPr>
        <w:pStyle w:val="FirstParagraph"/>
      </w:pPr>
      <w:r>
        <w:rPr>
          <w:b/>
          <w:bCs/>
        </w:rPr>
        <w:t xml:space="preserve">Likely interpretation:</w:t>
      </w:r>
      <w:r>
        <w:t xml:space="preserve"> </w:t>
      </w:r>
      <w:r>
        <w:t xml:space="preserve">A solid recovery remains intact, although part of the improvement is already priced into the shares.</w:t>
      </w:r>
    </w:p>
    <w:bookmarkEnd w:id="31"/>
    <w:bookmarkStart w:id="32" w:name="bear-case"/>
    <w:p>
      <w:pPr>
        <w:pStyle w:val="Heading3"/>
      </w:pPr>
      <w:r>
        <w:t xml:space="preserve">Bear case</w:t>
      </w:r>
    </w:p>
    <w:p>
      <w:pPr>
        <w:pStyle w:val="Compact"/>
        <w:numPr>
          <w:ilvl w:val="0"/>
          <w:numId w:val="1014"/>
        </w:numPr>
      </w:pPr>
      <w:r>
        <w:t xml:space="preserve">Core FFO below approximately $2.04</w:t>
      </w:r>
    </w:p>
    <w:p>
      <w:pPr>
        <w:pStyle w:val="Compact"/>
        <w:numPr>
          <w:ilvl w:val="0"/>
          <w:numId w:val="1014"/>
        </w:numPr>
      </w:pPr>
      <w:r>
        <w:t xml:space="preserve">Same-store revenue slips below 1%</w:t>
      </w:r>
    </w:p>
    <w:p>
      <w:pPr>
        <w:pStyle w:val="Compact"/>
        <w:numPr>
          <w:ilvl w:val="0"/>
          <w:numId w:val="1014"/>
        </w:numPr>
      </w:pPr>
      <w:r>
        <w:t xml:space="preserve">Occupancy gains require weaker street rates</w:t>
      </w:r>
    </w:p>
    <w:p>
      <w:pPr>
        <w:pStyle w:val="Compact"/>
        <w:numPr>
          <w:ilvl w:val="0"/>
          <w:numId w:val="1014"/>
        </w:numPr>
      </w:pPr>
      <w:r>
        <w:t xml:space="preserve">Bad debt or vacates begin rising</w:t>
      </w:r>
    </w:p>
    <w:p>
      <w:pPr>
        <w:pStyle w:val="Compact"/>
        <w:numPr>
          <w:ilvl w:val="0"/>
          <w:numId w:val="1014"/>
        </w:numPr>
      </w:pPr>
      <w:r>
        <w:t xml:space="preserve">Sunbelt recovery stalls</w:t>
      </w:r>
    </w:p>
    <w:p>
      <w:pPr>
        <w:pStyle w:val="Compact"/>
        <w:numPr>
          <w:ilvl w:val="0"/>
          <w:numId w:val="1014"/>
        </w:numPr>
      </w:pPr>
      <w:r>
        <w:t xml:space="preserve">Guidance is merely reaffirmed or reduced</w:t>
      </w:r>
    </w:p>
    <w:p>
      <w:pPr>
        <w:pStyle w:val="Compact"/>
        <w:numPr>
          <w:ilvl w:val="0"/>
          <w:numId w:val="1014"/>
        </w:numPr>
      </w:pPr>
      <w:r>
        <w:t xml:space="preserve">Interest expense offsets property-level improvement</w:t>
      </w:r>
    </w:p>
    <w:p>
      <w:pPr>
        <w:pStyle w:val="FirstParagraph"/>
      </w:pPr>
      <w:r>
        <w:rPr>
          <w:b/>
          <w:bCs/>
        </w:rPr>
        <w:t xml:space="preserve">Likely interpretation:</w:t>
      </w:r>
      <w:r>
        <w:t xml:space="preserve"> </w:t>
      </w:r>
      <w:r>
        <w:t xml:space="preserve">Q1’s strength was not a reliable indicator of the leasing season, and the path toward normalized revenue growth is flatter than investors expect.</w:t>
      </w:r>
    </w:p>
    <w:p>
      <w:r>
        <w:pict>
          <v:rect style="width:0;height:1.5pt" o:hralign="center" o:hrstd="t" o:hr="t"/>
        </w:pict>
      </w:r>
    </w:p>
    <w:bookmarkEnd w:id="32"/>
    <w:bookmarkEnd w:id="33"/>
    <w:bookmarkStart w:id="34" w:name="questions-for-the-call"/>
    <w:p>
      <w:pPr>
        <w:pStyle w:val="Heading2"/>
      </w:pPr>
      <w:r>
        <w:t xml:space="preserve">Questions for the call</w:t>
      </w:r>
    </w:p>
    <w:p>
      <w:pPr>
        <w:pStyle w:val="Compact"/>
        <w:numPr>
          <w:ilvl w:val="0"/>
          <w:numId w:val="1015"/>
        </w:numPr>
      </w:pPr>
      <w:r>
        <w:t xml:space="preserve">What were year-over-year move-in rates in April, May, June and July?</w:t>
      </w:r>
    </w:p>
    <w:p>
      <w:pPr>
        <w:pStyle w:val="Compact"/>
        <w:numPr>
          <w:ilvl w:val="0"/>
          <w:numId w:val="1015"/>
        </w:numPr>
      </w:pPr>
      <w:r>
        <w:t xml:space="preserve">How did ending July occupancy compare with the prior year?</w:t>
      </w:r>
    </w:p>
    <w:p>
      <w:pPr>
        <w:pStyle w:val="Compact"/>
        <w:numPr>
          <w:ilvl w:val="0"/>
          <w:numId w:val="1015"/>
        </w:numPr>
      </w:pPr>
      <w:r>
        <w:t xml:space="preserve">How much of Q2 revenue growth came from new-customer rates, occupancy and existing-customer increases?</w:t>
      </w:r>
    </w:p>
    <w:p>
      <w:pPr>
        <w:pStyle w:val="Compact"/>
        <w:numPr>
          <w:ilvl w:val="0"/>
          <w:numId w:val="1015"/>
        </w:numPr>
      </w:pPr>
      <w:r>
        <w:t xml:space="preserve">Which Sunbelt markets improved most, and which remain under pressure?</w:t>
      </w:r>
    </w:p>
    <w:p>
      <w:pPr>
        <w:pStyle w:val="Compact"/>
        <w:numPr>
          <w:ilvl w:val="0"/>
          <w:numId w:val="1015"/>
        </w:numPr>
      </w:pPr>
      <w:r>
        <w:t xml:space="preserve">What is management’s latest estimate for 2026 and 2027 new supply?</w:t>
      </w:r>
    </w:p>
    <w:p>
      <w:pPr>
        <w:pStyle w:val="Compact"/>
        <w:numPr>
          <w:ilvl w:val="0"/>
          <w:numId w:val="1015"/>
        </w:numPr>
      </w:pPr>
      <w:r>
        <w:t xml:space="preserve">How much of any guidance increase reflects property operations rather than interest income or other items?</w:t>
      </w:r>
    </w:p>
    <w:p>
      <w:pPr>
        <w:pStyle w:val="Compact"/>
        <w:numPr>
          <w:ilvl w:val="0"/>
          <w:numId w:val="1015"/>
        </w:numPr>
      </w:pPr>
      <w:r>
        <w:t xml:space="preserve">What did the insurance renewal ultimately cost?</w:t>
      </w:r>
    </w:p>
    <w:p>
      <w:pPr>
        <w:pStyle w:val="Compact"/>
        <w:numPr>
          <w:ilvl w:val="0"/>
          <w:numId w:val="1015"/>
        </w:numPr>
      </w:pPr>
      <w:r>
        <w:t xml:space="preserve">Are recent acquisitions accretive given cap rates in the low-to-mid-5% area?</w:t>
      </w:r>
    </w:p>
    <w:p>
      <w:pPr>
        <w:pStyle w:val="Compact"/>
        <w:numPr>
          <w:ilvl w:val="0"/>
          <w:numId w:val="1015"/>
        </w:numPr>
      </w:pPr>
      <w:r>
        <w:t xml:space="preserve">Will the new senior-note proceeds support acquisitions, or primarily retire commercial paper?</w:t>
      </w:r>
    </w:p>
    <w:p>
      <w:pPr>
        <w:pStyle w:val="Compact"/>
        <w:numPr>
          <w:ilvl w:val="0"/>
          <w:numId w:val="1015"/>
        </w:numPr>
      </w:pPr>
      <w:r>
        <w:t xml:space="preserve">Has the competitive environment changed following Public Storage’s agreement to acquire National Storage Affiliates?</w:t>
      </w:r>
    </w:p>
    <w:bookmarkEnd w:id="34"/>
    <w:bookmarkStart w:id="35" w:name="bottom-line"/>
    <w:p>
      <w:pPr>
        <w:pStyle w:val="Heading2"/>
      </w:pPr>
      <w:r>
        <w:t xml:space="preserve">Bottom line</w:t>
      </w:r>
    </w:p>
    <w:p>
      <w:pPr>
        <w:pStyle w:val="FirstParagraph"/>
      </w:pPr>
      <w:r>
        <w:t xml:space="preserve">The</w:t>
      </w:r>
      <w:r>
        <w:t xml:space="preserve"> </w:t>
      </w:r>
      <w:r>
        <w:rPr>
          <w:b/>
          <w:bCs/>
        </w:rPr>
        <w:t xml:space="preserve">quality of the revenue recovery and the guidance update</w:t>
      </w:r>
      <w:r>
        <w:t xml:space="preserve"> </w:t>
      </w:r>
      <w:r>
        <w:t xml:space="preserve">matter more than the headline FFO figure.</w:t>
      </w:r>
    </w:p>
    <w:p>
      <w:pPr>
        <w:pStyle w:val="BodyText"/>
      </w:pPr>
      <w:r>
        <w:t xml:space="preserve">EXR has a credible path to a constructive report: first-quarter performance was ahead of budget, supply pressure is declining, occupancy is high, and Q2 has favorable expense comparisons. The principal risk is that the stock now requires confirmation that these conditions translated into stronger leasing-season pricing—not simply occupancy preservation and easy comparisons.</w:t>
      </w:r>
    </w:p>
    <w:p>
      <w:pPr>
        <w:pStyle w:val="BodyText"/>
      </w:pPr>
      <w:r>
        <w:t xml:space="preserve">A modest beat with unchanged guidance would be underwhelming. A report combining</w:t>
      </w:r>
      <w:r>
        <w:t xml:space="preserve"> </w:t>
      </w:r>
      <w:r>
        <w:rPr>
          <w:b/>
          <w:bCs/>
        </w:rPr>
        <w:t xml:space="preserve">positive move-in rates, stable or improving occupancy, above-range same-store NOI and higher full-year guidance</w:t>
      </w:r>
      <w:r>
        <w:t xml:space="preserve"> </w:t>
      </w:r>
      <w:r>
        <w:t xml:space="preserve">would support the view that EXR has entered the early stages of a durable storage recovery.</w:t>
      </w:r>
    </w:p>
    <w:bookmarkEnd w:id="35"/>
    <w:bookmarkEnd w:id="3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1" Target="https://extraspace.gcs-web.com/investor-resources/earnings-estimates" TargetMode="External" /><Relationship Type="http://schemas.openxmlformats.org/officeDocument/2006/relationships/hyperlink" Id="rId27" Target="https://ir.extraspace.com/news/news-details/2026/Extra-Space-Announces-Pricing-of-550-Million-of-4-900-Senior-Notes-due-2032/default.aspx?utm_source=openai" TargetMode="External" /><Relationship Type="http://schemas.openxmlformats.org/officeDocument/2006/relationships/hyperlink" Id="rId9" Target="https://ir.extraspace.com/news/news-details/2026/Extra-Space-Storage-Inc--Announces-Date-of-Earnings-Release-and-Conference-Call-to-Discuss-2nd-Quarter-Results/default.aspx?utm_source=openai" TargetMode="External" /><Relationship Type="http://schemas.openxmlformats.org/officeDocument/2006/relationships/hyperlink" Id="rId12" Target="https://ir.extraspace.com/news/news-details/2026/Extra-Space-Storage-Inc--Reports-2026-First-Quarter-Results/default.aspx" TargetMode="External" /></Relationships>
</file>

<file path=word/_rels/footnotes.xml.rels><?xml version="1.0" encoding="UTF-8"?><Relationships xmlns="http://schemas.openxmlformats.org/package/2006/relationships"><Relationship Type="http://schemas.openxmlformats.org/officeDocument/2006/relationships/hyperlink" Id="rId11" Target="https://extraspace.gcs-web.com/investor-resources/earnings-estimates" TargetMode="External" /><Relationship Type="http://schemas.openxmlformats.org/officeDocument/2006/relationships/hyperlink" Id="rId27" Target="https://ir.extraspace.com/news/news-details/2026/Extra-Space-Announces-Pricing-of-550-Million-of-4-900-Senior-Notes-due-2032/default.aspx?utm_source=openai" TargetMode="External" /><Relationship Type="http://schemas.openxmlformats.org/officeDocument/2006/relationships/hyperlink" Id="rId9" Target="https://ir.extraspace.com/news/news-details/2026/Extra-Space-Storage-Inc--Announces-Date-of-Earnings-Release-and-Conference-Call-to-Discuss-2nd-Quarter-Results/default.aspx?utm_source=openai" TargetMode="External" /><Relationship Type="http://schemas.openxmlformats.org/officeDocument/2006/relationships/hyperlink" Id="rId12" Target="https://ir.extraspace.com/news/news-details/2026/Extra-Space-Storage-Inc--Reports-2026-First-Quarter-Results/default.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2026-07-28T01:36:04Z</dcterms:created>
  <dcterms:modified xsi:type="dcterms:W3CDTF">2026-07-28T01:36:04Z</dcterms:modified>
</cp:coreProperties>
</file>

<file path=docProps/custom.xml><?xml version="1.0" encoding="utf-8"?>
<Properties xmlns="http://schemas.openxmlformats.org/officeDocument/2006/custom-properties" xmlns:vt="http://schemas.openxmlformats.org/officeDocument/2006/docPropsVTypes"/>
</file>