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r-earnings-predictions--2026-07-28"/>
    <w:p>
      <w:pPr>
        <w:pStyle w:val="Heading1"/>
      </w:pPr>
      <w:r>
        <w:t xml:space="preserve">EXR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~2.6% vs. cons 1.4%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~1.7% vs. cons 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8.15</m:t>
              </m:r>
              <m:r>
                <m:rPr>
                  <m:sty m:val="p"/>
                </m:rPr>
                <m:t>−</m:t>
              </m:r>
            </m:oMath>
            <w:r>
              <w:t xml:space="preserve">8.40 (midpoint $8.28) vs. cons $8.24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~0.5%-2.0% (midpoint 1.3%) vs. cons 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~-0.75%-1.75% (midpoint 0.5%) vs. cons 0.2%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new-customer rate and occupancy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~1.5% move-in-rate growth and ~94.5% occupancy vs. cons 0.5% and 94.1% (July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+4.1% (FOLLOW-THROUGH)</w:t>
            </w:r>
          </w:p>
        </w:tc>
        <w:tc>
          <w:tcPr/>
          <w:p>
            <w:pPr>
              <w:pStyle w:val="Compact"/>
            </w:pPr>
            <w:r>
              <w:t xml:space="preserve">A ~$0.04 quarterly Core FFO beat versus</w:t>
            </w:r>
            <w:r>
              <w:t xml:space="preserve"> </w:t>
            </w:r>
            <m:oMath>
              <m:r>
                <m:t>2.06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8.28 versus $8.24 consensus creates positive out-period math; better same-store revenue/NOI and constructive July pricing should support upward revisions rather than leave the move dependent only on the quarterly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2026-07-28T01:34:59Z</dcterms:created>
  <dcterms:modified xsi:type="dcterms:W3CDTF">2026-07-28T01:34:59Z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