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306e2f6811060b7beab046659159df1374df67"/>
    <w:p>
      <w:pPr>
        <w:pStyle w:val="Heading1"/>
      </w:pPr>
      <w:r>
        <w:t xml:space="preserve">Extra Space Storage (NYSE: EXR) — 2Q26 Earnings Preview</w:t>
      </w:r>
    </w:p>
    <w:p>
      <w:pPr>
        <w:pStyle w:val="BlockText"/>
      </w:pPr>
      <w:r>
        <w:rPr>
          <w:b/>
          <w:bCs/>
        </w:rPr>
        <w:t xml:space="preserve">Timing correction: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Tuesday, July 28, 2026</w:t>
      </w:r>
      <w:r>
        <w:t xml:space="preserve">. EXR is scheduled to release 2Q26 results</w:t>
      </w:r>
      <w:r>
        <w:t xml:space="preserve"> </w:t>
      </w:r>
      <w:r>
        <w:rPr>
          <w:b/>
          <w:bCs/>
        </w:rPr>
        <w:t xml:space="preserve">after today’s market close</w:t>
      </w:r>
      <w:r>
        <w:t xml:space="preserve">, not tomorrow; management’s earnings call is</w:t>
      </w:r>
      <w:r>
        <w:t xml:space="preserve"> </w:t>
      </w:r>
      <w:r>
        <w:rPr>
          <w:b/>
          <w:bCs/>
        </w:rPr>
        <w:t xml:space="preserve">Wednesday, July 29 at 1:00 p.m. ET</w:t>
      </w:r>
      <w:r>
        <w:t xml:space="preserve">. (</w:t>
      </w:r>
      <w:hyperlink r:id="rId9">
        <w:r>
          <w:rPr>
            <w:rStyle w:val="Hyperlink"/>
          </w:rPr>
          <w:t xml:space="preserve">ir.extraspace.com</w:t>
        </w:r>
      </w:hyperlink>
      <w:r>
        <w:t xml:space="preserve">)</w:t>
      </w:r>
    </w:p>
    <w:bookmarkStart w:id="11" w:name="X654195a25d6031bd8f32c5adec827fbb15d5f18"/>
    <w:p>
      <w:pPr>
        <w:pStyle w:val="Heading2"/>
      </w:pPr>
      <w:r>
        <w:t xml:space="preserve">Investment view: the key question is whether a better leasing season unlocks a guidance increase</w:t>
      </w:r>
    </w:p>
    <w:p>
      <w:pPr>
        <w:pStyle w:val="FirstParagraph"/>
      </w:pPr>
      <w:r>
        <w:t xml:space="preserve">EXR entered 2026 expecting a gradual self-storage recovery, driven principally by declining new supply rather than a major housing-market rebound. First-quarter results suggested that recovery was gaining traction: same-store revenue grew</w:t>
      </w:r>
      <w:r>
        <w:t xml:space="preserve"> </w:t>
      </w:r>
      <w:r>
        <w:rPr>
          <w:b/>
          <w:bCs/>
        </w:rPr>
        <w:t xml:space="preserve">1.7%</w:t>
      </w:r>
      <w:r>
        <w:t xml:space="preserve">, same-store NOI grew</w:t>
      </w:r>
      <w:r>
        <w:t xml:space="preserve"> </w:t>
      </w:r>
      <w:r>
        <w:rPr>
          <w:b/>
          <w:bCs/>
        </w:rPr>
        <w:t xml:space="preserve">1.2%</w:t>
      </w:r>
      <w:r>
        <w:t xml:space="preserve">, and Core FFO rose</w:t>
      </w:r>
      <w:r>
        <w:t xml:space="preserve"> </w:t>
      </w:r>
      <w:r>
        <w:rPr>
          <w:b/>
          <w:bCs/>
        </w:rPr>
        <w:t xml:space="preserve">2.0%</w:t>
      </w:r>
      <w:r>
        <w:t xml:space="preserve"> </w:t>
      </w:r>
      <w:r>
        <w:t xml:space="preserve">year over year to</w:t>
      </w:r>
      <w:r>
        <w:t xml:space="preserve"> </w:t>
      </w:r>
      <w:r>
        <w:rPr>
          <w:b/>
          <w:bCs/>
        </w:rPr>
        <w:t xml:space="preserve">$2.04 per share</w:t>
      </w:r>
      <w:r>
        <w:t xml:space="preserve">. Management said results were ahead of its internal expectations and specifically deferred a reassessment of full-year guidance until after the critical spring/summer leasing season. (</w:t>
      </w:r>
      <w:hyperlink r:id="rId10">
        <w:r>
          <w:rPr>
            <w:rStyle w:val="Hyperlink"/>
          </w:rPr>
          <w:t xml:space="preserve">ir.extraspace.com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Therefore, the setup is constructive but demanding:</w:t>
      </w:r>
      <w:r>
        <w:t xml:space="preserve"> </w:t>
      </w:r>
      <w:r>
        <w:t xml:space="preserve">investors will likely care less about a modest Core FFO variance and more about whether EXR can demonstrate that stronger new-customer pricing, high occupancy, and reduced supply pressure have persisted through June and July—enough to lift the current</w:t>
      </w:r>
      <w:r>
        <w:t xml:space="preserve"> </w:t>
      </w:r>
      <m:oMath>
        <m:r>
          <m:t>8.05</m:t>
        </m:r>
        <m:r>
          <m:rPr>
            <m:sty m:val="p"/>
          </m:rPr>
          <m:t>–</m:t>
        </m:r>
      </m:oMath>
      <w:r>
        <w:rPr>
          <w:b/>
          <w:bCs/>
        </w:rPr>
        <w:t xml:space="preserve">8.35</w:t>
      </w:r>
      <w:r>
        <w:t xml:space="preserve"> </w:t>
      </w:r>
      <w:r>
        <w:t xml:space="preserve">2026 Core FFO outlook.</w:t>
      </w:r>
    </w:p>
    <w:bookmarkEnd w:id="11"/>
    <w:bookmarkStart w:id="18" w:name="what-investors-should-watch"/>
    <w:p>
      <w:pPr>
        <w:pStyle w:val="Heading2"/>
      </w:pPr>
      <w:r>
        <w:t xml:space="preserve">What investors should watch</w:t>
      </w:r>
    </w:p>
    <w:bookmarkStart w:id="13" w:name="X6c64f645c7fc4ff3ba195a84b6f813aa1ab815d"/>
    <w:p>
      <w:pPr>
        <w:pStyle w:val="Heading3"/>
      </w:pPr>
      <w:r>
        <w:t xml:space="preserve">1. Same-store revenue: can 1Q’s acceleration hold?</w:t>
      </w:r>
    </w:p>
    <w:p>
      <w:pPr>
        <w:pStyle w:val="FirstParagraph"/>
      </w:pPr>
      <w:r>
        <w:t xml:space="preserve">This is the central operating KPI. EXR’s same-store revenue growth accelerated from</w:t>
      </w:r>
      <w:r>
        <w:t xml:space="preserve"> </w:t>
      </w:r>
      <w:r>
        <w:rPr>
          <w:b/>
          <w:bCs/>
        </w:rPr>
        <w:t xml:space="preserve">0.4% in 4Q25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1.7% in 1Q26</w:t>
      </w:r>
      <w:r>
        <w:t xml:space="preserve">, while same-store NOI improved from</w:t>
      </w:r>
      <w:r>
        <w:t xml:space="preserve"> </w:t>
      </w:r>
      <w:r>
        <w:rPr>
          <w:b/>
          <w:bCs/>
        </w:rPr>
        <w:t xml:space="preserve">0.1%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1.2%</w:t>
      </w:r>
      <w:r>
        <w:t xml:space="preserve">. The company had benefited from several quarters of positive new-customer rate growth finally rolling through to the in-place rent roll.</w:t>
      </w:r>
    </w:p>
    <w:p>
      <w:pPr>
        <w:pStyle w:val="BodyText"/>
      </w:pPr>
      <w:r>
        <w:t xml:space="preserve">The important question for 2Q is whether this improvement</w:t>
      </w:r>
      <w:r>
        <w:t xml:space="preserve"> </w:t>
      </w:r>
      <w:r>
        <w:rPr>
          <w:b/>
          <w:bCs/>
        </w:rPr>
        <w:t xml:space="preserve">accelerated, held, or faded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Bullish:</w:t>
      </w:r>
      <w:r>
        <w:t xml:space="preserve"> </w:t>
      </w:r>
      <w:r>
        <w:t xml:space="preserve">revenue growth materially above the prior full-year guidance range of</w:t>
      </w:r>
      <w:r>
        <w:t xml:space="preserve"> </w:t>
      </w:r>
      <w:r>
        <w:rPr>
          <w:b/>
          <w:bCs/>
        </w:rPr>
        <w:t xml:space="preserve">-0.5% to +1.5%</w:t>
      </w:r>
      <w:r>
        <w:t xml:space="preserve">, with durable pricing and occupancy.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Acceptable:</w:t>
      </w:r>
      <w:r>
        <w:t xml:space="preserve"> </w:t>
      </w:r>
      <w:r>
        <w:t xml:space="preserve">growth remains positive but moderates somewhat because of tougher comparisons.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Bearish:</w:t>
      </w:r>
      <w:r>
        <w:t xml:space="preserve"> </w:t>
      </w:r>
      <w:r>
        <w:t xml:space="preserve">growth falls back toward flat or negative territory, implying that 1Q was more timing-related than a sustained inflection.</w:t>
      </w:r>
    </w:p>
    <w:p>
      <w:pPr>
        <w:pStyle w:val="FirstParagraph"/>
      </w:pPr>
      <w:r>
        <w:t xml:space="preserve">The 2Q25 comparison is not especially easy: EXR produced flat same-store revenue a year ago but exited that period with strong</w:t>
      </w:r>
      <w:r>
        <w:t xml:space="preserve"> </w:t>
      </w:r>
      <w:r>
        <w:rPr>
          <w:b/>
          <w:bCs/>
        </w:rPr>
        <w:t xml:space="preserve">94.6% ending occupancy</w:t>
      </w:r>
      <w:r>
        <w:t xml:space="preserve"> </w:t>
      </w:r>
      <w:r>
        <w:t xml:space="preserve">and newly positive move-in pricing. The current quarter must show that the 2025 pricing recovery has continued to translate into realized revenue. (</w:t>
      </w:r>
      <w:hyperlink r:id="rId12">
        <w:r>
          <w:rPr>
            <w:rStyle w:val="Hyperlink"/>
          </w:rPr>
          <w:t xml:space="preserve">ir.extraspace.com</w:t>
        </w:r>
      </w:hyperlink>
      <w:r>
        <w:t xml:space="preserve">)</w:t>
      </w:r>
    </w:p>
    <w:bookmarkEnd w:id="13"/>
    <w:bookmarkStart w:id="14" w:name="X666f755b3bbcf16ea0b4306d66a64590e4107d4"/>
    <w:p>
      <w:pPr>
        <w:pStyle w:val="Heading3"/>
      </w:pPr>
      <w:r>
        <w:t xml:space="preserve">2. The pricing-versus-occupancy tradeoff</w:t>
      </w:r>
    </w:p>
    <w:p>
      <w:pPr>
        <w:pStyle w:val="FirstParagraph"/>
      </w:pPr>
      <w:r>
        <w:t xml:space="preserve">In 1Q, EXR ended with</w:t>
      </w:r>
      <w:r>
        <w:t xml:space="preserve"> </w:t>
      </w:r>
      <w:r>
        <w:rPr>
          <w:b/>
          <w:bCs/>
        </w:rPr>
        <w:t xml:space="preserve">93.0% same-store occupancy</w:t>
      </w:r>
      <w:r>
        <w:t xml:space="preserve">, down only 20 bps year over year and up from</w:t>
      </w:r>
      <w:r>
        <w:t xml:space="preserve"> </w:t>
      </w:r>
      <w:r>
        <w:rPr>
          <w:b/>
          <w:bCs/>
        </w:rPr>
        <w:t xml:space="preserve">92.6%</w:t>
      </w:r>
      <w:r>
        <w:t xml:space="preserve"> </w:t>
      </w:r>
      <w:r>
        <w:t xml:space="preserve">at year-end. Management said April trends remained favorable: occupancy was improving sequentially and year over year, while new-customer rates were modestly positive.</w:t>
      </w:r>
    </w:p>
    <w:p>
      <w:pPr>
        <w:pStyle w:val="BodyText"/>
      </w:pPr>
      <w:r>
        <w:t xml:space="preserve">That said, management acknowledged that new-customer rate growth slowed from roughly</w:t>
      </w:r>
      <w:r>
        <w:t xml:space="preserve"> </w:t>
      </w:r>
      <w:r>
        <w:rPr>
          <w:b/>
          <w:bCs/>
        </w:rPr>
        <w:t xml:space="preserve">5%–6% in January/February</w:t>
      </w:r>
      <w:r>
        <w:t xml:space="preserve"> </w:t>
      </w:r>
      <w:r>
        <w:t xml:space="preserve">to just above</w:t>
      </w:r>
      <w:r>
        <w:t xml:space="preserve"> </w:t>
      </w:r>
      <w:r>
        <w:rPr>
          <w:b/>
          <w:bCs/>
        </w:rPr>
        <w:t xml:space="preserve">1% in March</w:t>
      </w:r>
      <w:r>
        <w:t xml:space="preserve"> </w:t>
      </w:r>
      <w:r>
        <w:t xml:space="preserve">on the updated per-square-foot measure. This does not automatically signal weaker demand—the revenue-management system may have rationally leaned into occupancy—but it makes the June/July pricing trajectory especially important.</w:t>
      </w:r>
    </w:p>
    <w:p>
      <w:pPr>
        <w:pStyle w:val="BodyText"/>
      </w:pPr>
      <w:r>
        <w:rPr>
          <w:b/>
          <w:bCs/>
        </w:rPr>
        <w:t xml:space="preserve">What to listen for on the call:</w:t>
      </w:r>
    </w:p>
    <w:p>
      <w:pPr>
        <w:pStyle w:val="Compact"/>
        <w:numPr>
          <w:ilvl w:val="0"/>
          <w:numId w:val="1002"/>
        </w:numPr>
      </w:pPr>
      <w:r>
        <w:t xml:space="preserve">Move-in/street-rate growth in June and July;</w:t>
      </w:r>
    </w:p>
    <w:p>
      <w:pPr>
        <w:pStyle w:val="Compact"/>
        <w:numPr>
          <w:ilvl w:val="0"/>
          <w:numId w:val="1002"/>
        </w:numPr>
      </w:pPr>
      <w:r>
        <w:t xml:space="preserve">Occupancy relative to last year’s 94.6% 2Q endpoint;</w:t>
      </w:r>
    </w:p>
    <w:p>
      <w:pPr>
        <w:pStyle w:val="Compact"/>
        <w:numPr>
          <w:ilvl w:val="0"/>
          <w:numId w:val="1002"/>
        </w:numPr>
      </w:pPr>
      <w:r>
        <w:t xml:space="preserve">Whether the system is leaning toward price or occupancy;</w:t>
      </w:r>
    </w:p>
    <w:p>
      <w:pPr>
        <w:pStyle w:val="Compact"/>
        <w:numPr>
          <w:ilvl w:val="0"/>
          <w:numId w:val="1002"/>
        </w:numPr>
      </w:pPr>
      <w:r>
        <w:t xml:space="preserve">Evidence that existing-customer rent increases remain effective without increasing churn.</w:t>
      </w:r>
    </w:p>
    <w:p>
      <w:pPr>
        <w:pStyle w:val="FirstParagraph"/>
      </w:pPr>
      <w:r>
        <w:t xml:space="preserve">A favorable combination would be stable-to-higher occupancy plus positive move-in rates. A material occupancy sacrifice to preserve price would be more concerning in a still price-sensitive customer environment.</w:t>
      </w:r>
    </w:p>
    <w:bookmarkEnd w:id="14"/>
    <w:bookmarkStart w:id="15" w:name="Xc44c21da776a4573bb34216012bc205e7871869"/>
    <w:p>
      <w:pPr>
        <w:pStyle w:val="Heading3"/>
      </w:pPr>
      <w:r>
        <w:t xml:space="preserve">3. Sun Belt recovery versus lingering weak markets</w:t>
      </w:r>
    </w:p>
    <w:p>
      <w:pPr>
        <w:pStyle w:val="FirstParagraph"/>
      </w:pPr>
      <w:r>
        <w:t xml:space="preserve">Supply moderation has been the main pillar of EXR’s recovery thesis. In 1Q, management cited improving trends in several previously pressured Sun Belt markets—including</w:t>
      </w:r>
      <w:r>
        <w:t xml:space="preserve"> </w:t>
      </w:r>
      <w:r>
        <w:rPr>
          <w:b/>
          <w:bCs/>
        </w:rPr>
        <w:t xml:space="preserve">Atlanta, Austin, Dallas, Miami, and Phoenix</w:t>
      </w:r>
      <w:r>
        <w:t xml:space="preserve">—while pointing to continued headwinds in</w:t>
      </w:r>
      <w:r>
        <w:t xml:space="preserve"> </w:t>
      </w:r>
      <w:r>
        <w:rPr>
          <w:b/>
          <w:bCs/>
        </w:rPr>
        <w:t xml:space="preserve">Southwest Florida, Tampa, and Houston</w:t>
      </w:r>
      <w:r>
        <w:t xml:space="preserve">.</w:t>
      </w:r>
    </w:p>
    <w:p>
      <w:pPr>
        <w:pStyle w:val="BodyText"/>
      </w:pPr>
      <w:r>
        <w:t xml:space="preserve">Investors should look for market-level evidence that the recovery is broadening. EXR has meaningful Sun Belt exposure, which was a drag during the development-heavy period but could become a source of upside as deliveries decline and population growth reasserts itself.</w:t>
      </w:r>
    </w:p>
    <w:p>
      <w:pPr>
        <w:pStyle w:val="BodyText"/>
      </w:pPr>
      <w:r>
        <w:t xml:space="preserve">The company has argued that new supply is clearly easing: management’s data indicated that the share of same-store square footage facing a new competitor in its trade area had fallen sharply from the high-20% range in 2021–2023 to an expected</w:t>
      </w:r>
      <w:r>
        <w:t xml:space="preserve"> </w:t>
      </w:r>
      <w:r>
        <w:rPr>
          <w:b/>
          <w:bCs/>
        </w:rPr>
        <w:t xml:space="preserve">6% in 2026</w:t>
      </w:r>
      <w:r>
        <w:t xml:space="preserve">. The critical issue is whether that supply relief is now producing enough pricing power to improve full-year NOI expectations.</w:t>
      </w:r>
    </w:p>
    <w:bookmarkEnd w:id="15"/>
    <w:bookmarkStart w:id="16" w:name="X3ec4783bccd8ccff407b894678d9172d8449e29"/>
    <w:p>
      <w:pPr>
        <w:pStyle w:val="Heading3"/>
      </w:pPr>
      <w:r>
        <w:t xml:space="preserve">4. Guidance: a raise is possible, but not assured</w:t>
      </w:r>
    </w:p>
    <w:p>
      <w:pPr>
        <w:pStyle w:val="FirstParagraph"/>
      </w:pPr>
      <w:r>
        <w:t xml:space="preserve">EXR maintained its 2026 guidance after a better-than-expected first quarter: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guidance 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range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FFO per share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8.05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8.35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-0.5% to +1.5%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Same-store expense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2.0% to 3.5%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-2.25% to +1.25%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acquisitions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$200M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Average bridge-loan balance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$1.475B</w:t>
            </w:r>
          </w:p>
        </w:tc>
      </w:tr>
    </w:tbl>
    <w:p>
      <w:pPr>
        <w:pStyle w:val="BodyText"/>
      </w:pPr>
      <w:r>
        <w:t xml:space="preserve">The company explicitly said it would revisit guidance following 2Q, after the leasing season. That makes a raise—or the decision not to raise—the dominant stock catalyst. (</w:t>
      </w:r>
      <w:hyperlink r:id="rId10">
        <w:r>
          <w:rPr>
            <w:rStyle w:val="Hyperlink"/>
          </w:rPr>
          <w:t xml:space="preserve">ir.extraspace.com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My read:</w:t>
      </w:r>
      <w:r>
        <w:t xml:space="preserve"> </w:t>
      </w:r>
      <w:r>
        <w:t xml:space="preserve">the bar for at least a modest improvement in same-store guidance appears attainable if April-to-July trends remained intact. But management has been conservative because of macro uncertainty, difficult back-half comparisons, and the potential for price-sensitive demand. A “maintain” outcome paired with strong current-quarter trends could still be viewed constructively; maintaining guidance while describing a weaker June/July would likely disappoint.</w:t>
      </w:r>
    </w:p>
    <w:bookmarkEnd w:id="16"/>
    <w:bookmarkStart w:id="17" w:name="Xb6f51af0399e662dc67bb2b4253a5941baafb02"/>
    <w:p>
      <w:pPr>
        <w:pStyle w:val="Heading3"/>
      </w:pPr>
      <w:r>
        <w:t xml:space="preserve">5. Expenses and NOI conversion</w:t>
      </w:r>
    </w:p>
    <w:p>
      <w:pPr>
        <w:pStyle w:val="FirstParagraph"/>
      </w:pPr>
      <w:r>
        <w:t xml:space="preserve">1Q same-store expenses increased</w:t>
      </w:r>
      <w:r>
        <w:t xml:space="preserve"> </w:t>
      </w:r>
      <w:r>
        <w:rPr>
          <w:b/>
          <w:bCs/>
        </w:rPr>
        <w:t xml:space="preserve">2.7%</w:t>
      </w:r>
      <w:r>
        <w:t xml:space="preserve">, slightly above revenue growth’s conversion to NOI. Weather-related utilities and repairs were a headwind, while insurance expense rose more than 10%. Management expected its late-May insurance renewal to be flat to better, which creates a potential margin tailwind in 2Q and beyond.</w:t>
      </w:r>
    </w:p>
    <w:p>
      <w:pPr>
        <w:pStyle w:val="BodyText"/>
      </w:pPr>
      <w:r>
        <w:t xml:space="preserve">For 2Q, watch:</w:t>
      </w:r>
    </w:p>
    <w:p>
      <w:pPr>
        <w:pStyle w:val="Compact"/>
        <w:numPr>
          <w:ilvl w:val="0"/>
          <w:numId w:val="1003"/>
        </w:numPr>
      </w:pPr>
      <w:r>
        <w:t xml:space="preserve">Property-tax growth;</w:t>
      </w:r>
    </w:p>
    <w:p>
      <w:pPr>
        <w:pStyle w:val="Compact"/>
        <w:numPr>
          <w:ilvl w:val="0"/>
          <w:numId w:val="1003"/>
        </w:numPr>
      </w:pPr>
      <w:r>
        <w:t xml:space="preserve">Insurance renewal outcome;</w:t>
      </w:r>
    </w:p>
    <w:p>
      <w:pPr>
        <w:pStyle w:val="Compact"/>
        <w:numPr>
          <w:ilvl w:val="0"/>
          <w:numId w:val="1003"/>
        </w:numPr>
      </w:pPr>
      <w:r>
        <w:t xml:space="preserve">Repairs, maintenance, and weather normalization;</w:t>
      </w:r>
    </w:p>
    <w:p>
      <w:pPr>
        <w:pStyle w:val="Compact"/>
        <w:numPr>
          <w:ilvl w:val="0"/>
          <w:numId w:val="1003"/>
        </w:numPr>
      </w:pPr>
      <w:r>
        <w:t xml:space="preserve">Marketing expense as EXR balances customer acquisition against revenue maximization.</w:t>
      </w:r>
    </w:p>
    <w:p>
      <w:pPr>
        <w:pStyle w:val="FirstParagraph"/>
      </w:pPr>
      <w:r>
        <w:t xml:space="preserve">If revenue growth stays positive and expenses land near the low end of the 2.0%–3.5% guide, NOI growth could improve more visibly than in 1Q.</w:t>
      </w:r>
    </w:p>
    <w:bookmarkEnd w:id="17"/>
    <w:bookmarkEnd w:id="18"/>
    <w:bookmarkStart w:id="19" w:name="external-growth-and-balance-sheet-items"/>
    <w:p>
      <w:pPr>
        <w:pStyle w:val="Heading2"/>
      </w:pPr>
      <w:r>
        <w:t xml:space="preserve">External-growth and balance-sheet items</w:t>
      </w:r>
    </w:p>
    <w:p>
      <w:pPr>
        <w:pStyle w:val="FirstParagraph"/>
      </w:pPr>
      <w:r>
        <w:t xml:space="preserve">EXR’s differentiator is its broader platform: third-party management, joint ventures, bridge lending, and acquisitions complement core same-store growth.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Third-party management:</w:t>
      </w:r>
      <w:r>
        <w:t xml:space="preserve"> </w:t>
      </w:r>
      <w:r>
        <w:t xml:space="preserve">EXR added</w:t>
      </w:r>
      <w:r>
        <w:t xml:space="preserve"> </w:t>
      </w:r>
      <w:r>
        <w:rPr>
          <w:b/>
          <w:bCs/>
        </w:rPr>
        <w:t xml:space="preserve">60 net stores</w:t>
      </w:r>
      <w:r>
        <w:t xml:space="preserve"> </w:t>
      </w:r>
      <w:r>
        <w:t xml:space="preserve">in 1Q, reaching</w:t>
      </w:r>
      <w:r>
        <w:t xml:space="preserve"> </w:t>
      </w:r>
      <w:r>
        <w:rPr>
          <w:b/>
          <w:bCs/>
        </w:rPr>
        <w:t xml:space="preserve">2,324 total managed stores</w:t>
      </w:r>
      <w:r>
        <w:t xml:space="preserve"> </w:t>
      </w:r>
      <w:r>
        <w:t xml:space="preserve">including unconsolidated JVs. Continued growth supports management fees, tenant-insurance opportunities, lending relationships, and a future acquisition pipeline.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Bridge loans:</w:t>
      </w:r>
      <w:r>
        <w:t xml:space="preserve"> </w:t>
      </w:r>
      <w:r>
        <w:t xml:space="preserve">balances were approximately</w:t>
      </w:r>
      <w:r>
        <w:t xml:space="preserve"> </w:t>
      </w:r>
      <w:r>
        <w:rPr>
          <w:b/>
          <w:bCs/>
        </w:rPr>
        <w:t xml:space="preserve">$1.5B</w:t>
      </w:r>
      <w:r>
        <w:t xml:space="preserve"> </w:t>
      </w:r>
      <w:r>
        <w:t xml:space="preserve">at quarter-end. The program supports interest income and can generate acquisition opportunities, though originations were light in 1Q.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Acquisitions:</w:t>
      </w:r>
      <w:r>
        <w:t xml:space="preserve"> </w:t>
      </w:r>
      <w:r>
        <w:t xml:space="preserve">management remains disciplined because market pricing has remained aggressive. It has indicated that more activity may occur through asset-light JV structures rather than wholly owned acquisitions.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Financing:</w:t>
      </w:r>
      <w:r>
        <w:t xml:space="preserve"> </w:t>
      </w:r>
      <w:r>
        <w:t xml:space="preserve">in late June, EXR issued</w:t>
      </w:r>
      <w:r>
        <w:t xml:space="preserve"> </w:t>
      </w:r>
      <w:r>
        <w:rPr>
          <w:b/>
          <w:bCs/>
        </w:rPr>
        <w:t xml:space="preserve">$550M of 4.90% senior notes due 2032</w:t>
      </w:r>
      <w:r>
        <w:t xml:space="preserve">, with proceeds intended largely for lines of credit/commercial paper repayment, general corporate purposes, and potential acquisitions. That should improve liquidity and extend funding capacity, although it also underscores that external-growth returns must exceed a still-material cost of capital.</w:t>
      </w:r>
    </w:p>
    <w:p>
      <w:pPr>
        <w:pStyle w:val="FirstParagraph"/>
      </w:pPr>
      <w:r>
        <w:t xml:space="preserve">The balance sheet was already well insulated at quarter-end:</w:t>
      </w:r>
      <w:r>
        <w:t xml:space="preserve"> </w:t>
      </w:r>
      <w:r>
        <w:rPr>
          <w:b/>
          <w:bCs/>
        </w:rPr>
        <w:t xml:space="preserve">82.5%</w:t>
      </w:r>
      <w:r>
        <w:t xml:space="preserve"> </w:t>
      </w:r>
      <w:r>
        <w:t xml:space="preserve">of debt was fixed-rate, or</w:t>
      </w:r>
      <w:r>
        <w:t xml:space="preserve"> </w:t>
      </w:r>
      <w:r>
        <w:rPr>
          <w:b/>
          <w:bCs/>
        </w:rPr>
        <w:t xml:space="preserve">92.9% effectively fixed</w:t>
      </w:r>
      <w:r>
        <w:t xml:space="preserve"> </w:t>
      </w:r>
      <w:r>
        <w:t xml:space="preserve">after considering variable-rate receivables; the blended debt cost was</w:t>
      </w:r>
      <w:r>
        <w:t xml:space="preserve"> </w:t>
      </w:r>
      <w:r>
        <w:rPr>
          <w:b/>
          <w:bCs/>
        </w:rPr>
        <w:t xml:space="preserve">4.3%</w:t>
      </w:r>
      <w:r>
        <w:t xml:space="preserve">.</w:t>
      </w:r>
    </w:p>
    <w:bookmarkEnd w:id="19"/>
    <w:bookmarkStart w:id="21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As of the July 27 close, EXR was</w:t>
      </w:r>
      <w:r>
        <w:t xml:space="preserve"> </w:t>
      </w:r>
      <w:r>
        <w:rPr>
          <w:b/>
          <w:bCs/>
        </w:rPr>
        <w:t xml:space="preserve">up 13.9%</w:t>
      </w:r>
      <w:r>
        <w:t xml:space="preserve"> </w:t>
      </w:r>
      <w:r>
        <w:t xml:space="preserve">from year-end 2025, versus approximately</w:t>
      </w:r>
      <w:r>
        <w:t xml:space="preserve"> </w:t>
      </w:r>
      <w:r>
        <w:rPr>
          <w:b/>
          <w:bCs/>
        </w:rPr>
        <w:t xml:space="preserve">24.9%</w:t>
      </w:r>
      <w:r>
        <w:t xml:space="preserve"> </w:t>
      </w:r>
      <w:r>
        <w:t xml:space="preserve">for Public Storage and</w:t>
      </w:r>
      <w:r>
        <w:t xml:space="preserve"> </w:t>
      </w:r>
      <w:r>
        <w:rPr>
          <w:b/>
          <w:bCs/>
        </w:rPr>
        <w:t xml:space="preserve">17.3%</w:t>
      </w:r>
      <w:r>
        <w:t xml:space="preserve"> </w:t>
      </w:r>
      <w:r>
        <w:t xml:space="preserve">for CubeSmart. That relative lag suggests investors still want confirmation that EXR’s operational recovery can translate into upward earnings revisions rather than simply stabilization.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/>
          <w:bCs/>
        </w:rPr>
        <w:t xml:space="preserve">$1.62 quarterly dividend</w:t>
      </w:r>
      <w:r>
        <w:t xml:space="preserve"> </w:t>
      </w:r>
      <w:r>
        <w:t xml:space="preserve">remains unchanged, providing a stable income component while investors wait for same-store growth to normalize. (</w:t>
      </w:r>
      <w:hyperlink r:id="rId20">
        <w:r>
          <w:rPr>
            <w:rStyle w:val="Hyperlink"/>
          </w:rPr>
          <w:t xml:space="preserve">ir.extraspace.com</w:t>
        </w:r>
      </w:hyperlink>
      <w:r>
        <w:t xml:space="preserve">)</w:t>
      </w:r>
    </w:p>
    <w:bookmarkEnd w:id="21"/>
    <w:bookmarkStart w:id="2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EXR’s 2Q report is a</w:t>
      </w:r>
      <w:r>
        <w:t xml:space="preserve"> </w:t>
      </w:r>
      <w:r>
        <w:rPr>
          <w:b/>
          <w:bCs/>
        </w:rPr>
        <w:t xml:space="preserve">leasing-season validation event</w:t>
      </w:r>
      <w:r>
        <w:t xml:space="preserve">. The company has already shown early recovery signs—positive same-store revenue, improving NOI, high occupancy, supply moderation, and strong fee-based platform growth. The report needs to establish that those gains persisted through the highest-volume quarter of the year.</w:t>
      </w:r>
    </w:p>
    <w:p>
      <w:pPr>
        <w:pStyle w:val="BodyText"/>
      </w:pPr>
      <w:r>
        <w:rPr>
          <w:b/>
          <w:bCs/>
        </w:rPr>
        <w:t xml:space="preserve">Bull case:</w:t>
      </w:r>
      <w:r>
        <w:t xml:space="preserve"> </w:t>
      </w:r>
      <w:r>
        <w:t xml:space="preserve">positive same-store revenue accelerates, Sun Belt markets continue to heal, expense pressure eases, and guidance moves higher.</w:t>
      </w:r>
    </w:p>
    <w:p>
      <w:pPr>
        <w:pStyle w:val="BodyText"/>
      </w:pPr>
      <w:r>
        <w:rPr>
          <w:b/>
          <w:bCs/>
        </w:rPr>
        <w:t xml:space="preserve">Base case:</w:t>
      </w:r>
      <w:r>
        <w:t xml:space="preserve"> </w:t>
      </w:r>
      <w:r>
        <w:t xml:space="preserve">results remain solid, guidance is maintained, but management offers constructive July pricing/occupancy commentary that preserves the case for a second-half improvement.</w:t>
      </w:r>
    </w:p>
    <w:p>
      <w:pPr>
        <w:pStyle w:val="BodyText"/>
      </w:pPr>
      <w:r>
        <w:rPr>
          <w:b/>
          <w:bCs/>
        </w:rPr>
        <w:t xml:space="preserve">Bear case:</w:t>
      </w:r>
      <w:r>
        <w:t xml:space="preserve"> </w:t>
      </w:r>
      <w:r>
        <w:t xml:space="preserve">move-in rates weaken, occupancy slips more than seasonally, supply-pressured markets fail to recover, and management keeps guidance unchanged for operational—not merely macro-prudence—reasons.</w:t>
      </w:r>
    </w:p>
    <w:p>
      <w:pPr>
        <w:pStyle w:val="BodyText"/>
      </w:pPr>
      <w:r>
        <w:rPr>
          <w:b/>
          <w:bCs/>
        </w:rPr>
        <w:t xml:space="preserve">Most important call question:</w:t>
      </w:r>
      <w:r>
        <w:t xml:space="preserve"> </w:t>
      </w:r>
      <w:r>
        <w:rPr>
          <w:i/>
          <w:iCs/>
        </w:rPr>
        <w:t xml:space="preserve">After seeing the full leasing season, does management now believe 2026 same-store revenue and NOI will land above the original guidance midpoint?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ir.extraspace.com/news/news-details/2025/Extra-Space-Storage-Inc--Reports-2025-Second-Quarter-Results/default.aspx?utm_source=openai" TargetMode="External" /><Relationship Type="http://schemas.openxmlformats.org/officeDocument/2006/relationships/hyperlink" Id="rId20" Target="https://ir.extraspace.com/news/news-details/2026/Extra-Space-Storage-Inc--Announces-2nd-Quarter-2026-Dividend/default.aspx?utm_source=openai" TargetMode="External" /><Relationship Type="http://schemas.openxmlformats.org/officeDocument/2006/relationships/hyperlink" Id="rId9" Target="https://ir.extraspace.com/news/news-details/2026/Extra-Space-Storage-Inc--Announces-Date-of-Earnings-Release-and-Conference-Call-to-Discuss-2nd-Quarter-Results/default.aspx?utm_source=openai" TargetMode="External" /><Relationship Type="http://schemas.openxmlformats.org/officeDocument/2006/relationships/hyperlink" Id="rId10" Target="https://ir.extraspace.com/news/news-details/2026/Extra-Space-Storage-Inc--Reports-2026-First-Quarter-Results/default.aspx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ir.extraspace.com/news/news-details/2025/Extra-Space-Storage-Inc--Reports-2025-Second-Quarter-Results/default.aspx?utm_source=openai" TargetMode="External" /><Relationship Type="http://schemas.openxmlformats.org/officeDocument/2006/relationships/hyperlink" Id="rId20" Target="https://ir.extraspace.com/news/news-details/2026/Extra-Space-Storage-Inc--Announces-2nd-Quarter-2026-Dividend/default.aspx?utm_source=openai" TargetMode="External" /><Relationship Type="http://schemas.openxmlformats.org/officeDocument/2006/relationships/hyperlink" Id="rId9" Target="https://ir.extraspace.com/news/news-details/2026/Extra-Space-Storage-Inc--Announces-Date-of-Earnings-Release-and-Conference-Call-to-Discuss-2nd-Quarter-Results/default.aspx?utm_source=openai" TargetMode="External" /><Relationship Type="http://schemas.openxmlformats.org/officeDocument/2006/relationships/hyperlink" Id="rId10" Target="https://ir.extraspace.com/news/news-details/2026/Extra-Space-Storage-Inc--Reports-2026-First-Quarter-Results/default.aspx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2026-07-28T01:34:59Z</dcterms:created>
  <dcterms:modified xsi:type="dcterms:W3CDTF">2026-07-28T01:34:59Z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