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Extra Space Storage (EXR) — Q2 2026 Earnings Preview</w:t>
      </w:r>
    </w:p>
    <w:p>
      <w:r>
        <w:rPr>
          <w:rFonts w:ascii="Calibri" w:hAnsi="Calibri"/>
          <w:b/>
          <w:color w:val="525866"/>
          <w:sz w:val="22"/>
        </w:rPr>
        <w:t xml:space="preserve">Ticker: </w:t>
      </w:r>
      <w:r>
        <w:rPr>
          <w:rFonts w:ascii="Calibri" w:hAnsi="Calibri"/>
          <w:color w:val="525866"/>
          <w:sz w:val="22"/>
        </w:rPr>
        <w:t xml:space="preserve">EXR  </w:t>
      </w:r>
      <w:r>
        <w:rPr>
          <w:rFonts w:ascii="Calibri" w:hAnsi="Calibri"/>
          <w:b/>
          <w:color w:val="525866"/>
          <w:sz w:val="22"/>
        </w:rPr>
        <w:t xml:space="preserve">| Earnings Date: </w:t>
      </w:r>
      <w:r>
        <w:rPr>
          <w:rFonts w:ascii="Calibri" w:hAnsi="Calibri"/>
          <w:color w:val="525866"/>
          <w:sz w:val="22"/>
        </w:rPr>
        <w:t xml:space="preserve">July 28, 2026 (After Market Close)  </w:t>
      </w:r>
      <w:r>
        <w:rPr>
          <w:rFonts w:ascii="Calibri" w:hAnsi="Calibri"/>
          <w:b/>
          <w:color w:val="525866"/>
          <w:sz w:val="22"/>
        </w:rPr>
        <w:t xml:space="preserve">| Conference Call: </w:t>
      </w:r>
      <w:r>
        <w:rPr>
          <w:rFonts w:ascii="Calibri" w:hAnsi="Calibri"/>
          <w:color w:val="525866"/>
          <w:sz w:val="22"/>
        </w:rPr>
        <w:t xml:space="preserve">July 29, 2026 at 1:00 PM ET  </w:t>
      </w:r>
      <w:r>
        <w:rPr>
          <w:rFonts w:ascii="Calibri" w:hAnsi="Calibri"/>
          <w:b/>
          <w:color w:val="525866"/>
          <w:sz w:val="22"/>
        </w:rPr>
        <w:t xml:space="preserve">| Prepared: </w:t>
      </w:r>
      <w:r>
        <w:rPr>
          <w:rFonts w:ascii="Calibri" w:hAnsi="Calibri"/>
          <w:color w:val="525866"/>
          <w:sz w:val="22"/>
        </w:rPr>
        <w:t>July 28,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favors a beat on Core FFO and same-store revenue, with the leasing season serving as the critical swing factor — management explicitly promised to revisit full-year guidance at Q2, making this print a potential catalyst for a guidance raise.</w:t>
      </w:r>
    </w:p>
    <w:p>
      <w:r>
        <w:rPr>
          <w:rFonts w:ascii="Calibri" w:hAnsi="Calibri"/>
          <w:color w:val="525866"/>
          <w:sz w:val="22"/>
        </w:rPr>
        <w:t xml:space="preserve">Heading into Q2 2026, the bar for EXR looks achievable: consensus Core FFO sits at ~$2.08/share, a modest step up from Q1's $2.04 actual, and same-store revenue growth consensus of ~1.2% is well below the 1.7% EXR delivered in Q1 — suggesting the street has not fully extrapolated the Q1 acceleration into Q2. </w:t>
      </w:r>
      <w:r>
        <w:rPr>
          <w:rFonts w:ascii="Calibri" w:hAnsi="Calibri"/>
          <w:b/>
          <w:color w:val="525866"/>
          <w:sz w:val="22"/>
        </w:rPr>
        <w:t>Management's tone on the Q1 call was constructive but deliberately cautious</w:t>
      </w:r>
      <w:r>
        <w:rPr>
          <w:rFonts w:ascii="Calibri" w:hAnsi="Calibri"/>
          <w:color w:val="525866"/>
          <w:sz w:val="22"/>
        </w:rPr>
        <w:t xml:space="preserve">, citing macro uncertainty (inflation, consumer confidence, gas prices) as the reason for holding guidance despite a Q1 beat, and explicitly committing to revisit the $8.05–$8.35 Core FFO range after the leasing season — that revisit is now. Estimate revisions have been modestly positive since the Q1 print, with Q2 Core FFO consensus edging up ~$0.005 and FY 2026 Core FFO rising ~$0.01, consistent with a market that believes the recovery is real but not yet willing to price in a step-change. </w:t>
      </w:r>
      <w:r>
        <w:rPr>
          <w:rFonts w:ascii="Calibri" w:hAnsi="Calibri"/>
          <w:b/>
          <w:color w:val="525866"/>
          <w:sz w:val="22"/>
        </w:rPr>
        <w:t>The stock has gained ~5% since the Q1 earnings date (April 28) vs. PSA +9% and CUBE +7%</w:t>
      </w:r>
      <w:r>
        <w:rPr>
          <w:rFonts w:ascii="Calibri" w:hAnsi="Calibri"/>
          <w:color w:val="525866"/>
          <w:sz w:val="22"/>
        </w:rPr>
        <w:t xml:space="preserve">, suggesting EXR has lagged peers despite comparable fundamental improvement — a setup where a guidance raise could close that gap quickly. The single biggest wildcard is </w:t>
      </w:r>
      <w:r>
        <w:rPr>
          <w:rFonts w:ascii="Calibri" w:hAnsi="Calibri"/>
          <w:b/>
          <w:color w:val="525866"/>
          <w:sz w:val="22"/>
        </w:rPr>
        <w:t>whether management raises full-year guidance</w:t>
      </w:r>
      <w:r>
        <w:rPr>
          <w:rFonts w:ascii="Calibri" w:hAnsi="Calibri"/>
          <w:color w:val="525866"/>
          <w:sz w:val="22"/>
        </w:rPr>
        <w:t>: peer CubeSmart reported April move-in rates up 2% YoY and occupancy gap narrowing to just 20bps by end of April, while PSA noted move-in rates improving to flat-to-positive in April — both read-throughs support a strong Q2 for EXR and increase the probability of a guidance lift.</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low bar on same-store revenue growth (~1.2% vs. Q1's 1.7% actual) and Core FFO ($2.08 vs. $2.04 in Q1), with occupancy the bigger swing factor — if the leasing season delivered the occupancy recovery peers signaled, EXR should beat on both top KPIs.</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(Implied)</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Core FFO per Share ($)</w:t>
            </w:r>
          </w:p>
        </w:tc>
        <w:tc>
          <w:tcPr>
            <w:tcW w:type="dxa" w:w="1234"/>
          </w:tcPr>
          <w:p>
            <w:r>
              <w:rPr>
                <w:rFonts w:ascii="Calibri" w:hAnsi="Calibri"/>
                <w:sz w:val="22"/>
              </w:rPr>
              <w:t>$2.04</w:t>
            </w:r>
          </w:p>
        </w:tc>
        <w:tc>
          <w:tcPr>
            <w:tcW w:type="dxa" w:w="1234"/>
          </w:tcPr>
          <w:p>
            <w:r>
              <w:rPr>
                <w:rFonts w:ascii="Calibri" w:hAnsi="Calibri"/>
                <w:sz w:val="22"/>
              </w:rPr>
              <w:t>$2.05</w:t>
            </w:r>
          </w:p>
        </w:tc>
        <w:tc>
          <w:tcPr>
            <w:tcW w:type="dxa" w:w="1234"/>
          </w:tcPr>
          <w:p>
            <w:r>
              <w:rPr>
                <w:rFonts w:ascii="Calibri" w:hAnsi="Calibri"/>
                <w:sz w:val="22"/>
              </w:rPr>
              <w:t>$2.08</w:t>
            </w:r>
          </w:p>
        </w:tc>
        <w:tc>
          <w:tcPr>
            <w:tcW w:type="dxa" w:w="1234"/>
          </w:tcPr>
          <w:p>
            <w:r>
              <w:rPr>
                <w:rFonts w:ascii="Calibri" w:hAnsi="Calibri"/>
                <w:sz w:val="22"/>
              </w:rPr>
              <w:t>+1.5%</w:t>
            </w:r>
          </w:p>
        </w:tc>
        <w:tc>
          <w:tcPr>
            <w:tcW w:type="dxa" w:w="1234"/>
          </w:tcPr>
          <w:p>
            <w:r>
              <w:rPr>
                <w:rFonts w:ascii="Calibri" w:hAnsi="Calibri"/>
                <w:sz w:val="22"/>
              </w:rPr>
              <w:t>$8.05–$8.35 ($8.20 mid)</w:t>
            </w:r>
          </w:p>
        </w:tc>
        <w:tc>
          <w:tcPr>
            <w:tcW w:type="dxa" w:w="1234"/>
          </w:tcPr>
          <w:p>
            <w:r>
              <w:rPr>
                <w:rFonts w:ascii="Calibri" w:hAnsi="Calibri"/>
                <w:sz w:val="22"/>
              </w:rPr>
              <w:t>+1.2% above mid</w:t>
            </w:r>
          </w:p>
        </w:tc>
      </w:tr>
      <w:tr>
        <w:tc>
          <w:tcPr>
            <w:tcW w:type="dxa" w:w="1234"/>
          </w:tcPr>
          <w:p>
            <w:r>
              <w:rPr>
                <w:rFonts w:ascii="Calibri" w:hAnsi="Calibri"/>
                <w:sz w:val="22"/>
              </w:rPr>
              <w:t>Same-Store Revenue Growth YoY (%)</w:t>
            </w:r>
          </w:p>
        </w:tc>
        <w:tc>
          <w:tcPr>
            <w:tcW w:type="dxa" w:w="1234"/>
          </w:tcPr>
          <w:p>
            <w:r>
              <w:rPr>
                <w:rFonts w:ascii="Calibri" w:hAnsi="Calibri"/>
                <w:sz w:val="22"/>
              </w:rPr>
              <w:t>+1.66%</w:t>
            </w:r>
          </w:p>
        </w:tc>
        <w:tc>
          <w:tcPr>
            <w:tcW w:type="dxa" w:w="1234"/>
          </w:tcPr>
          <w:p>
            <w:r>
              <w:rPr>
                <w:rFonts w:ascii="Calibri" w:hAnsi="Calibri"/>
                <w:sz w:val="22"/>
              </w:rPr>
              <w:t>+0.50%</w:t>
            </w:r>
          </w:p>
        </w:tc>
        <w:tc>
          <w:tcPr>
            <w:tcW w:type="dxa" w:w="1234"/>
          </w:tcPr>
          <w:p>
            <w:r>
              <w:rPr>
                <w:rFonts w:ascii="Calibri" w:hAnsi="Calibri"/>
                <w:sz w:val="22"/>
              </w:rPr>
              <w:t>~+1.20%</w:t>
            </w:r>
          </w:p>
        </w:tc>
        <w:tc>
          <w:tcPr>
            <w:tcW w:type="dxa" w:w="1234"/>
          </w:tcPr>
          <w:p>
            <w:r>
              <w:rPr>
                <w:rFonts w:ascii="Calibri" w:hAnsi="Calibri"/>
                <w:sz w:val="22"/>
              </w:rPr>
              <w:t>+70 bps YoY</w:t>
            </w:r>
          </w:p>
        </w:tc>
        <w:tc>
          <w:tcPr>
            <w:tcW w:type="dxa" w:w="1234"/>
          </w:tcPr>
          <w:p>
            <w:r>
              <w:rPr>
                <w:rFonts w:ascii="Calibri" w:hAnsi="Calibri"/>
                <w:sz w:val="22"/>
              </w:rPr>
              <w:t>0.0%–2.0% (1.0% mid)</w:t>
            </w:r>
          </w:p>
        </w:tc>
        <w:tc>
          <w:tcPr>
            <w:tcW w:type="dxa" w:w="1234"/>
          </w:tcPr>
          <w:p>
            <w:r>
              <w:rPr>
                <w:rFonts w:ascii="Calibri" w:hAnsi="Calibri"/>
                <w:sz w:val="22"/>
              </w:rPr>
              <w:t>+20 bps above mid</w:t>
            </w:r>
          </w:p>
        </w:tc>
      </w:tr>
      <w:tr>
        <w:tc>
          <w:tcPr>
            <w:tcW w:type="dxa" w:w="1234"/>
          </w:tcPr>
          <w:p>
            <w:r>
              <w:rPr>
                <w:rFonts w:ascii="Calibri" w:hAnsi="Calibri"/>
                <w:sz w:val="22"/>
              </w:rPr>
              <w:t>Same-Store Revenue ($M)</w:t>
            </w:r>
          </w:p>
        </w:tc>
        <w:tc>
          <w:tcPr>
            <w:tcW w:type="dxa" w:w="1234"/>
          </w:tcPr>
          <w:p>
            <w:r>
              <w:rPr>
                <w:rFonts w:ascii="Calibri" w:hAnsi="Calibri"/>
                <w:sz w:val="22"/>
              </w:rPr>
              <w:t>$678.6M</w:t>
            </w:r>
          </w:p>
        </w:tc>
        <w:tc>
          <w:tcPr>
            <w:tcW w:type="dxa" w:w="1234"/>
          </w:tcPr>
          <w:p>
            <w:r>
              <w:rPr>
                <w:rFonts w:ascii="Calibri" w:hAnsi="Calibri"/>
                <w:sz w:val="22"/>
              </w:rPr>
              <w:t>$674.3M</w:t>
            </w:r>
          </w:p>
        </w:tc>
        <w:tc>
          <w:tcPr>
            <w:tcW w:type="dxa" w:w="1234"/>
          </w:tcPr>
          <w:p>
            <w:r>
              <w:rPr>
                <w:rFonts w:ascii="Calibri" w:hAnsi="Calibri"/>
                <w:sz w:val="22"/>
              </w:rPr>
              <w:t>$683.5M</w:t>
            </w:r>
          </w:p>
        </w:tc>
        <w:tc>
          <w:tcPr>
            <w:tcW w:type="dxa" w:w="1234"/>
          </w:tcPr>
          <w:p>
            <w:r>
              <w:rPr>
                <w:rFonts w:ascii="Calibri" w:hAnsi="Calibri"/>
                <w:sz w:val="22"/>
              </w:rPr>
              <w:t>+$9.2M / +1.4%</w:t>
            </w:r>
          </w:p>
        </w:tc>
        <w:tc>
          <w:tcPr>
            <w:tcW w:type="dxa" w:w="1234"/>
          </w:tcPr>
          <w:p>
            <w:r>
              <w:rPr>
                <w:rFonts w:ascii="Calibri" w:hAnsi="Calibri"/>
                <w:sz w:val="22"/>
              </w:rPr>
              <w:t>N/A (% guidance)</w:t>
            </w:r>
          </w:p>
        </w:tc>
        <w:tc>
          <w:tcPr>
            <w:tcW w:type="dxa" w:w="1234"/>
          </w:tcPr>
          <w:p>
            <w:r>
              <w:rPr>
                <w:rFonts w:ascii="Calibri" w:hAnsi="Calibri"/>
                <w:sz w:val="22"/>
              </w:rPr>
              <w:t>N/A</w:t>
            </w:r>
          </w:p>
        </w:tc>
      </w:tr>
      <w:tr>
        <w:tc>
          <w:tcPr>
            <w:tcW w:type="dxa" w:w="1234"/>
          </w:tcPr>
          <w:p>
            <w:r>
              <w:rPr>
                <w:rFonts w:ascii="Calibri" w:hAnsi="Calibri"/>
                <w:sz w:val="22"/>
              </w:rPr>
              <w:t>Same-Store Occupancy (%)</w:t>
            </w:r>
          </w:p>
        </w:tc>
        <w:tc>
          <w:tcPr>
            <w:tcW w:type="dxa" w:w="1234"/>
          </w:tcPr>
          <w:p>
            <w:r>
              <w:rPr>
                <w:rFonts w:ascii="Calibri" w:hAnsi="Calibri"/>
                <w:sz w:val="22"/>
              </w:rPr>
              <w:t>92.7%</w:t>
            </w:r>
          </w:p>
        </w:tc>
        <w:tc>
          <w:tcPr>
            <w:tcW w:type="dxa" w:w="1234"/>
          </w:tcPr>
          <w:p>
            <w:r>
              <w:rPr>
                <w:rFonts w:ascii="Calibri" w:hAnsi="Calibri"/>
                <w:sz w:val="22"/>
              </w:rPr>
              <w:t>94.2%</w:t>
            </w:r>
          </w:p>
        </w:tc>
        <w:tc>
          <w:tcPr>
            <w:tcW w:type="dxa" w:w="1234"/>
          </w:tcPr>
          <w:p>
            <w:r>
              <w:rPr>
                <w:rFonts w:ascii="Calibri" w:hAnsi="Calibri"/>
                <w:sz w:val="22"/>
              </w:rPr>
              <w:t>~93.8%</w:t>
            </w:r>
          </w:p>
        </w:tc>
        <w:tc>
          <w:tcPr>
            <w:tcW w:type="dxa" w:w="1234"/>
          </w:tcPr>
          <w:p>
            <w:r>
              <w:rPr>
                <w:rFonts w:ascii="Calibri" w:hAnsi="Calibri"/>
                <w:sz w:val="22"/>
              </w:rPr>
              <w:t>-40 bps YoY</w:t>
            </w:r>
          </w:p>
        </w:tc>
        <w:tc>
          <w:tcPr>
            <w:tcW w:type="dxa" w:w="1234"/>
          </w:tcPr>
          <w:p>
            <w:r>
              <w:rPr>
                <w:rFonts w:ascii="Calibri" w:hAnsi="Calibri"/>
                <w:sz w:val="22"/>
              </w:rPr>
              <w:t>N/A (not guided)</w:t>
            </w:r>
          </w:p>
        </w:tc>
        <w:tc>
          <w:tcPr>
            <w:tcW w:type="dxa" w:w="1234"/>
          </w:tcPr>
          <w:p>
            <w:r>
              <w:rPr>
                <w:rFonts w:ascii="Calibri" w:hAnsi="Calibri"/>
                <w:sz w:val="22"/>
              </w:rPr>
              <w:t>N/A</w:t>
            </w:r>
          </w:p>
        </w:tc>
      </w:tr>
      <w:tr>
        <w:tc>
          <w:tcPr>
            <w:tcW w:type="dxa" w:w="1234"/>
          </w:tcPr>
          <w:p>
            <w:r>
              <w:rPr>
                <w:rFonts w:ascii="Calibri" w:hAnsi="Calibri"/>
                <w:sz w:val="22"/>
              </w:rPr>
              <w:t>Same-Store NOI ($M)</w:t>
            </w:r>
          </w:p>
        </w:tc>
        <w:tc>
          <w:tcPr>
            <w:tcW w:type="dxa" w:w="1234"/>
          </w:tcPr>
          <w:p>
            <w:r>
              <w:rPr>
                <w:rFonts w:ascii="Calibri" w:hAnsi="Calibri"/>
                <w:sz w:val="22"/>
              </w:rPr>
              <w:t>$476.7M</w:t>
            </w:r>
          </w:p>
        </w:tc>
        <w:tc>
          <w:tcPr>
            <w:tcW w:type="dxa" w:w="1234"/>
          </w:tcPr>
          <w:p>
            <w:r>
              <w:rPr>
                <w:rFonts w:ascii="Calibri" w:hAnsi="Calibri"/>
                <w:sz w:val="22"/>
              </w:rPr>
              <w:t>$479.1M</w:t>
            </w:r>
          </w:p>
        </w:tc>
        <w:tc>
          <w:tcPr>
            <w:tcW w:type="dxa" w:w="1234"/>
          </w:tcPr>
          <w:p>
            <w:r>
              <w:rPr>
                <w:rFonts w:ascii="Calibri" w:hAnsi="Calibri"/>
                <w:sz w:val="22"/>
              </w:rPr>
              <w:t>$483.0M</w:t>
            </w:r>
          </w:p>
        </w:tc>
        <w:tc>
          <w:tcPr>
            <w:tcW w:type="dxa" w:w="1234"/>
          </w:tcPr>
          <w:p>
            <w:r>
              <w:rPr>
                <w:rFonts w:ascii="Calibri" w:hAnsi="Calibri"/>
                <w:sz w:val="22"/>
              </w:rPr>
              <w:t>+0.8%</w:t>
            </w:r>
          </w:p>
        </w:tc>
        <w:tc>
          <w:tcPr>
            <w:tcW w:type="dxa" w:w="1234"/>
          </w:tcPr>
          <w:p>
            <w:r>
              <w:rPr>
                <w:rFonts w:ascii="Calibri" w:hAnsi="Calibri"/>
                <w:sz w:val="22"/>
              </w:rPr>
              <w:t>N/A (% guidance)</w:t>
            </w:r>
          </w:p>
        </w:tc>
        <w:tc>
          <w:tcPr>
            <w:tcW w:type="dxa" w:w="1234"/>
          </w:tcPr>
          <w:p>
            <w:r>
              <w:rPr>
                <w:rFonts w:ascii="Calibri" w:hAnsi="Calibri"/>
                <w:sz w:val="22"/>
              </w:rPr>
              <w:t>N/A</w:t>
            </w:r>
          </w:p>
        </w:tc>
      </w:tr>
      <w:tr>
        <w:tc>
          <w:tcPr>
            <w:tcW w:type="dxa" w:w="1234"/>
          </w:tcPr>
          <w:p>
            <w:r>
              <w:rPr>
                <w:rFonts w:ascii="Calibri" w:hAnsi="Calibri"/>
                <w:sz w:val="22"/>
              </w:rPr>
              <w:t>Same-Store NOI Growth YoY (%)</w:t>
            </w:r>
          </w:p>
        </w:tc>
        <w:tc>
          <w:tcPr>
            <w:tcW w:type="dxa" w:w="1234"/>
          </w:tcPr>
          <w:p>
            <w:r>
              <w:rPr>
                <w:rFonts w:ascii="Calibri" w:hAnsi="Calibri"/>
                <w:sz w:val="22"/>
              </w:rPr>
              <w:t>+1.24%</w:t>
            </w:r>
          </w:p>
        </w:tc>
        <w:tc>
          <w:tcPr>
            <w:tcW w:type="dxa" w:w="1234"/>
          </w:tcPr>
          <w:p>
            <w:r>
              <w:rPr>
                <w:rFonts w:ascii="Calibri" w:hAnsi="Calibri"/>
                <w:sz w:val="22"/>
              </w:rPr>
              <w:t>-3.1%</w:t>
            </w:r>
          </w:p>
        </w:tc>
        <w:tc>
          <w:tcPr>
            <w:tcW w:type="dxa" w:w="1234"/>
          </w:tcPr>
          <w:p>
            <w:r>
              <w:rPr>
                <w:rFonts w:ascii="Calibri" w:hAnsi="Calibri"/>
                <w:sz w:val="22"/>
              </w:rPr>
              <w:t>~+0.58%</w:t>
            </w:r>
          </w:p>
        </w:tc>
        <w:tc>
          <w:tcPr>
            <w:tcW w:type="dxa" w:w="1234"/>
          </w:tcPr>
          <w:p>
            <w:r>
              <w:rPr>
                <w:rFonts w:ascii="Calibri" w:hAnsi="Calibri"/>
                <w:sz w:val="22"/>
              </w:rPr>
              <w:t>+368 bps YoY</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Same-Store Expenses ($M)</w:t>
            </w:r>
          </w:p>
        </w:tc>
        <w:tc>
          <w:tcPr>
            <w:tcW w:type="dxa" w:w="1234"/>
          </w:tcPr>
          <w:p>
            <w:r>
              <w:rPr>
                <w:rFonts w:ascii="Calibri" w:hAnsi="Calibri"/>
                <w:sz w:val="22"/>
              </w:rPr>
              <w:t>$201.9M</w:t>
            </w:r>
          </w:p>
        </w:tc>
        <w:tc>
          <w:tcPr>
            <w:tcW w:type="dxa" w:w="1234"/>
          </w:tcPr>
          <w:p>
            <w:r>
              <w:rPr>
                <w:rFonts w:ascii="Calibri" w:hAnsi="Calibri"/>
                <w:sz w:val="22"/>
              </w:rPr>
              <w:t>$195.2M</w:t>
            </w:r>
          </w:p>
        </w:tc>
        <w:tc>
          <w:tcPr>
            <w:tcW w:type="dxa" w:w="1234"/>
          </w:tcPr>
          <w:p>
            <w:r>
              <w:rPr>
                <w:rFonts w:ascii="Calibri" w:hAnsi="Calibri"/>
                <w:sz w:val="22"/>
              </w:rPr>
              <w:t>$200.6M</w:t>
            </w:r>
          </w:p>
        </w:tc>
        <w:tc>
          <w:tcPr>
            <w:tcW w:type="dxa" w:w="1234"/>
          </w:tcPr>
          <w:p>
            <w:r>
              <w:rPr>
                <w:rFonts w:ascii="Calibri" w:hAnsi="Calibri"/>
                <w:sz w:val="22"/>
              </w:rPr>
              <w:t>+2.7%</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Sources: Visible Alpha Consensus and Actuals Data. Core FFO per share, same-store revenue, same-store revenue growth YoY, average occupancy rate, same-store NOI, same-store NOI growth YoY, same-store expenses — all from Visible Alpha. Q2 2026 consensus as of July 28, 2026. Note: Q1 2026 actual Core FFO of $2.04/share was reported on April 28, 2026. Same-store revenue Q1 2026 actual = $678.6M; Q2 2025 actual = $674.3M. Occupancy Q1 2026 actual = 92.7%; Q2 2025 actual = 94.2%. Same-store NOI Q1 2026 actual = $476.7M; Q2 2025 actual = $479.1M.</w:t>
      </w:r>
    </w:p>
    <w:p>
      <w:pPr>
        <w:pStyle w:val="Heading3"/>
      </w:pPr>
      <w:r>
        <w:rPr>
          <w:rFonts w:ascii="Calibri" w:hAnsi="Calibri"/>
          <w:b/>
          <w:color w:val="3B4259"/>
          <w:sz w:val="24"/>
        </w:rPr>
        <w:t>Table 2 — Beat/Miss History (Last 8 Quarters)</w:t>
      </w:r>
    </w:p>
    <w:p>
      <w:r>
        <w:rPr>
          <w:rFonts w:ascii="Calibri" w:hAnsi="Calibri"/>
          <w:b/>
          <w:color w:val="525866"/>
          <w:sz w:val="22"/>
        </w:rPr>
        <w:t>Top KPI 1: Core FFO per Share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2.04</w:t>
            </w:r>
          </w:p>
        </w:tc>
        <w:tc>
          <w:tcPr>
            <w:tcW w:type="dxa" w:w="1728"/>
          </w:tcPr>
          <w:p>
            <w:r>
              <w:rPr>
                <w:rFonts w:ascii="Calibri" w:hAnsi="Calibri"/>
                <w:sz w:val="22"/>
              </w:rPr>
              <w:t>2.01</w:t>
            </w:r>
          </w:p>
        </w:tc>
        <w:tc>
          <w:tcPr>
            <w:tcW w:type="dxa" w:w="1728"/>
          </w:tcPr>
          <w:p>
            <w:r>
              <w:rPr>
                <w:rFonts w:ascii="Calibri" w:hAnsi="Calibri"/>
                <w:sz w:val="22"/>
              </w:rPr>
              <w:t>+1.5%</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2.08</w:t>
            </w:r>
          </w:p>
        </w:tc>
        <w:tc>
          <w:tcPr>
            <w:tcW w:type="dxa" w:w="1728"/>
          </w:tcPr>
          <w:p>
            <w:r>
              <w:rPr>
                <w:rFonts w:ascii="Calibri" w:hAnsi="Calibri"/>
                <w:sz w:val="22"/>
              </w:rPr>
              <w:t>2.04</w:t>
            </w:r>
          </w:p>
        </w:tc>
        <w:tc>
          <w:tcPr>
            <w:tcW w:type="dxa" w:w="1728"/>
          </w:tcPr>
          <w:p>
            <w:r>
              <w:rPr>
                <w:rFonts w:ascii="Calibri" w:hAnsi="Calibri"/>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2.08</w:t>
            </w:r>
          </w:p>
        </w:tc>
        <w:tc>
          <w:tcPr>
            <w:tcW w:type="dxa" w:w="1728"/>
          </w:tcPr>
          <w:p>
            <w:r>
              <w:rPr>
                <w:rFonts w:ascii="Calibri" w:hAnsi="Calibri"/>
                <w:sz w:val="22"/>
              </w:rPr>
              <w:t>2.08</w:t>
            </w:r>
          </w:p>
        </w:tc>
        <w:tc>
          <w:tcPr>
            <w:tcW w:type="dxa" w:w="1728"/>
          </w:tcPr>
          <w:p>
            <w:r>
              <w:rPr>
                <w:rFonts w:ascii="Calibri" w:hAnsi="Calibri"/>
                <w:sz w:val="22"/>
              </w:rPr>
              <w:t>0.0%</w:t>
            </w:r>
          </w:p>
        </w:tc>
        <w:tc>
          <w:tcPr>
            <w:tcW w:type="dxa" w:w="1728"/>
          </w:tcPr>
          <w:p>
            <w:r>
              <w:rPr>
                <w:rFonts w:ascii="Calibri" w:hAnsi="Calibri"/>
                <w:sz w:val="22"/>
              </w:rPr>
              <w:t>In-Line</w:t>
            </w:r>
          </w:p>
        </w:tc>
      </w:tr>
      <w:tr>
        <w:tc>
          <w:tcPr>
            <w:tcW w:type="dxa" w:w="1728"/>
          </w:tcPr>
          <w:p>
            <w:r>
              <w:rPr>
                <w:rFonts w:ascii="Calibri" w:hAnsi="Calibri"/>
                <w:sz w:val="22"/>
              </w:rPr>
              <w:t>Q2 2025</w:t>
            </w:r>
          </w:p>
        </w:tc>
        <w:tc>
          <w:tcPr>
            <w:tcW w:type="dxa" w:w="1728"/>
          </w:tcPr>
          <w:p>
            <w:r>
              <w:rPr>
                <w:rFonts w:ascii="Calibri" w:hAnsi="Calibri"/>
                <w:sz w:val="22"/>
              </w:rPr>
              <w:t>2.05</w:t>
            </w:r>
          </w:p>
        </w:tc>
        <w:tc>
          <w:tcPr>
            <w:tcW w:type="dxa" w:w="1728"/>
          </w:tcPr>
          <w:p>
            <w:r>
              <w:rPr>
                <w:rFonts w:ascii="Calibri" w:hAnsi="Calibri"/>
                <w:sz w:val="22"/>
              </w:rPr>
              <w:t>2.06</w:t>
            </w:r>
          </w:p>
        </w:tc>
        <w:tc>
          <w:tcPr>
            <w:tcW w:type="dxa" w:w="1728"/>
          </w:tcPr>
          <w:p>
            <w:r>
              <w:rPr>
                <w:rFonts w:ascii="Calibri" w:hAnsi="Calibri"/>
                <w:sz w:val="22"/>
              </w:rPr>
              <w:t>-0.5%</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2.00</w:t>
            </w:r>
          </w:p>
        </w:tc>
        <w:tc>
          <w:tcPr>
            <w:tcW w:type="dxa" w:w="1728"/>
          </w:tcPr>
          <w:p>
            <w:r>
              <w:rPr>
                <w:rFonts w:ascii="Calibri" w:hAnsi="Calibri"/>
                <w:sz w:val="22"/>
              </w:rPr>
              <w:t>1.98</w:t>
            </w:r>
          </w:p>
        </w:tc>
        <w:tc>
          <w:tcPr>
            <w:tcW w:type="dxa" w:w="1728"/>
          </w:tcPr>
          <w:p>
            <w:r>
              <w:rPr>
                <w:rFonts w:ascii="Calibri" w:hAnsi="Calibri"/>
                <w:sz w:val="22"/>
              </w:rPr>
              <w:t>+1.0%</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2.03</w:t>
            </w:r>
          </w:p>
        </w:tc>
        <w:tc>
          <w:tcPr>
            <w:tcW w:type="dxa" w:w="1728"/>
          </w:tcPr>
          <w:p>
            <w:r>
              <w:rPr>
                <w:rFonts w:ascii="Calibri" w:hAnsi="Calibri"/>
                <w:sz w:val="22"/>
              </w:rPr>
              <w:t>2.02</w:t>
            </w:r>
          </w:p>
        </w:tc>
        <w:tc>
          <w:tcPr>
            <w:tcW w:type="dxa" w:w="1728"/>
          </w:tcPr>
          <w:p>
            <w:r>
              <w:rPr>
                <w:rFonts w:ascii="Calibri" w:hAnsi="Calibri"/>
                <w:sz w:val="22"/>
              </w:rPr>
              <w:t>+0.5%</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2.07</w:t>
            </w:r>
          </w:p>
        </w:tc>
        <w:tc>
          <w:tcPr>
            <w:tcW w:type="dxa" w:w="1728"/>
          </w:tcPr>
          <w:p>
            <w:r>
              <w:rPr>
                <w:rFonts w:ascii="Calibri" w:hAnsi="Calibri"/>
                <w:sz w:val="22"/>
              </w:rPr>
              <w:t>2.04</w:t>
            </w:r>
          </w:p>
        </w:tc>
        <w:tc>
          <w:tcPr>
            <w:tcW w:type="dxa" w:w="1728"/>
          </w:tcPr>
          <w:p>
            <w:r>
              <w:rPr>
                <w:rFonts w:ascii="Calibri" w:hAnsi="Calibri"/>
                <w:sz w:val="22"/>
              </w:rPr>
              <w:t>+1.5%</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2.06</w:t>
            </w:r>
          </w:p>
        </w:tc>
        <w:tc>
          <w:tcPr>
            <w:tcW w:type="dxa" w:w="1728"/>
          </w:tcPr>
          <w:p>
            <w:r>
              <w:rPr>
                <w:rFonts w:ascii="Calibri" w:hAnsi="Calibri"/>
                <w:sz w:val="22"/>
              </w:rPr>
              <w:t>2.01</w:t>
            </w:r>
          </w:p>
        </w:tc>
        <w:tc>
          <w:tcPr>
            <w:tcW w:type="dxa" w:w="1728"/>
          </w:tcPr>
          <w:p>
            <w:r>
              <w:rPr>
                <w:rFonts w:ascii="Calibri" w:hAnsi="Calibri"/>
                <w:sz w:val="22"/>
              </w:rPr>
              <w:t>+2.5%</w:t>
            </w:r>
          </w:p>
        </w:tc>
        <w:tc>
          <w:tcPr>
            <w:tcW w:type="dxa" w:w="1728"/>
          </w:tcPr>
          <w:p>
            <w:r>
              <w:rPr>
                <w:rFonts w:ascii="Calibri" w:hAnsi="Calibri"/>
                <w:b/>
                <w:color w:val="30A46C"/>
                <w:sz w:val="22"/>
              </w:rPr>
              <w:t>Beat</w:t>
            </w:r>
          </w:p>
        </w:tc>
      </w:tr>
    </w:tbl>
    <w:p>
      <w:r>
        <w:rPr>
          <w:rFonts w:ascii="Calibri" w:hAnsi="Calibri"/>
          <w:b/>
          <w:color w:val="525866"/>
          <w:sz w:val="22"/>
        </w:rPr>
        <w:t>Top KPI 2: Same-Store Revenue Growth YoY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+1.66%</w:t>
            </w:r>
          </w:p>
        </w:tc>
        <w:tc>
          <w:tcPr>
            <w:tcW w:type="dxa" w:w="1728"/>
          </w:tcPr>
          <w:p>
            <w:r>
              <w:rPr>
                <w:rFonts w:ascii="Calibri" w:hAnsi="Calibri"/>
                <w:sz w:val="22"/>
              </w:rPr>
              <w:t>+0.32%</w:t>
            </w:r>
          </w:p>
        </w:tc>
        <w:tc>
          <w:tcPr>
            <w:tcW w:type="dxa" w:w="1728"/>
          </w:tcPr>
          <w:p>
            <w:r>
              <w:rPr>
                <w:rFonts w:ascii="Calibri" w:hAnsi="Calibri"/>
                <w:sz w:val="22"/>
              </w:rPr>
              <w:t>+134 bps</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+0.40%</w:t>
            </w:r>
          </w:p>
        </w:tc>
        <w:tc>
          <w:tcPr>
            <w:tcW w:type="dxa" w:w="1728"/>
          </w:tcPr>
          <w:p>
            <w:r>
              <w:rPr>
                <w:rFonts w:ascii="Calibri" w:hAnsi="Calibri"/>
                <w:sz w:val="22"/>
              </w:rPr>
              <w:t>+0.10%</w:t>
            </w:r>
          </w:p>
        </w:tc>
        <w:tc>
          <w:tcPr>
            <w:tcW w:type="dxa" w:w="1728"/>
          </w:tcPr>
          <w:p>
            <w:r>
              <w:rPr>
                <w:rFonts w:ascii="Calibri" w:hAnsi="Calibri"/>
                <w:sz w:val="22"/>
              </w:rPr>
              <w:t>+30 bps</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-0.20%</w:t>
            </w:r>
          </w:p>
        </w:tc>
        <w:tc>
          <w:tcPr>
            <w:tcW w:type="dxa" w:w="1728"/>
          </w:tcPr>
          <w:p>
            <w:r>
              <w:rPr>
                <w:rFonts w:ascii="Calibri" w:hAnsi="Calibri"/>
                <w:sz w:val="22"/>
              </w:rPr>
              <w:t>+0.30%</w:t>
            </w:r>
          </w:p>
        </w:tc>
        <w:tc>
          <w:tcPr>
            <w:tcW w:type="dxa" w:w="1728"/>
          </w:tcPr>
          <w:p>
            <w:r>
              <w:rPr>
                <w:rFonts w:ascii="Calibri" w:hAnsi="Calibri"/>
                <w:sz w:val="22"/>
              </w:rPr>
              <w:t>-50 bps</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+0.50%</w:t>
            </w:r>
          </w:p>
        </w:tc>
        <w:tc>
          <w:tcPr>
            <w:tcW w:type="dxa" w:w="1728"/>
          </w:tcPr>
          <w:p>
            <w:r>
              <w:rPr>
                <w:rFonts w:ascii="Calibri" w:hAnsi="Calibri"/>
                <w:sz w:val="22"/>
              </w:rPr>
              <w:t>+0.27%</w:t>
            </w:r>
          </w:p>
        </w:tc>
        <w:tc>
          <w:tcPr>
            <w:tcW w:type="dxa" w:w="1728"/>
          </w:tcPr>
          <w:p>
            <w:r>
              <w:rPr>
                <w:rFonts w:ascii="Calibri" w:hAnsi="Calibri"/>
                <w:sz w:val="22"/>
              </w:rPr>
              <w:t>+23 bps</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+0.30%</w:t>
            </w:r>
          </w:p>
        </w:tc>
        <w:tc>
          <w:tcPr>
            <w:tcW w:type="dxa" w:w="1728"/>
          </w:tcPr>
          <w:p>
            <w:r>
              <w:rPr>
                <w:rFonts w:ascii="Calibri" w:hAnsi="Calibri"/>
                <w:sz w:val="22"/>
              </w:rPr>
              <w:t>-0.07%</w:t>
            </w:r>
          </w:p>
        </w:tc>
        <w:tc>
          <w:tcPr>
            <w:tcW w:type="dxa" w:w="1728"/>
          </w:tcPr>
          <w:p>
            <w:r>
              <w:rPr>
                <w:rFonts w:ascii="Calibri" w:hAnsi="Calibri"/>
                <w:sz w:val="22"/>
              </w:rPr>
              <w:t>+37 bps</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-0.40%</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-0.30%</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Q2 2024</w:t>
            </w:r>
          </w:p>
        </w:tc>
        <w:tc>
          <w:tcPr>
            <w:tcW w:type="dxa" w:w="1728"/>
          </w:tcPr>
          <w:p>
            <w:r>
              <w:rPr>
                <w:rFonts w:ascii="Calibri" w:hAnsi="Calibri"/>
                <w:sz w:val="22"/>
              </w:rPr>
              <w:t>+0.60%</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EXR has beaten Core FFO consensus in 6 of the last 8 quarters, with the one miss (Q2 2025) being marginal (-0.5%); same-store revenue beats have been more variable but the Q1 2026 beat of +134 bps was the largest in recent history, suggesting the recovery is accelerating faster than the street models.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unchanged since the Q1 2026 earnings call (April 28), but management explicitly committed to revisiting it at Q2 — the leasing season results now in hand make a guidance raise the base case if Q2 same-store revenue growth tracks above the midpoint.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Core FFO per Share (FY 2026)</w:t>
            </w:r>
          </w:p>
        </w:tc>
        <w:tc>
          <w:tcPr>
            <w:tcW w:type="dxa" w:w="1728"/>
          </w:tcPr>
          <w:p>
            <w:r>
              <w:rPr>
                <w:rFonts w:ascii="Calibri" w:hAnsi="Calibri"/>
                <w:sz w:val="22"/>
              </w:rPr>
              <w:t>$8.05–$8.35 ($8.20 midpoint)</w:t>
            </w:r>
          </w:p>
        </w:tc>
        <w:tc>
          <w:tcPr>
            <w:tcW w:type="dxa" w:w="1728"/>
          </w:tcPr>
          <w:p>
            <w:r>
              <w:rPr>
                <w:rFonts w:ascii="Calibri" w:hAnsi="Calibri"/>
                <w:sz w:val="22"/>
              </w:rPr>
              <w:t>— Unchanged</w:t>
            </w:r>
          </w:p>
        </w:tc>
        <w:tc>
          <w:tcPr>
            <w:tcW w:type="dxa" w:w="1728"/>
          </w:tcPr>
          <w:p>
            <w:r>
              <w:rPr>
                <w:rFonts w:ascii="Calibri" w:hAnsi="Calibri"/>
                <w:sz w:val="22"/>
              </w:rPr>
              <w:t>$8.30</w:t>
            </w:r>
          </w:p>
        </w:tc>
        <w:tc>
          <w:tcPr>
            <w:tcW w:type="dxa" w:w="1728"/>
          </w:tcPr>
          <w:p>
            <w:r>
              <w:rPr>
                <w:rFonts w:ascii="Calibri" w:hAnsi="Calibri"/>
                <w:sz w:val="22"/>
              </w:rPr>
              <w:t>Maintained despite Q1 beat; management cited macro uncertainty (inflation, consumer confidence, gas prices) and need to see leasing season before revising. Committed to revisit at Q2.</w:t>
            </w:r>
          </w:p>
        </w:tc>
      </w:tr>
      <w:tr>
        <w:tc>
          <w:tcPr>
            <w:tcW w:type="dxa" w:w="1728"/>
          </w:tcPr>
          <w:p>
            <w:r>
              <w:rPr>
                <w:rFonts w:ascii="Calibri" w:hAnsi="Calibri"/>
                <w:sz w:val="22"/>
              </w:rPr>
              <w:t>Same-Store Revenue Growth (FY 2026)</w:t>
            </w:r>
          </w:p>
        </w:tc>
        <w:tc>
          <w:tcPr>
            <w:tcW w:type="dxa" w:w="1728"/>
          </w:tcPr>
          <w:p>
            <w:r>
              <w:rPr>
                <w:rFonts w:ascii="Calibri" w:hAnsi="Calibri"/>
                <w:sz w:val="22"/>
              </w:rPr>
              <w:t>0.0%–2.0% (1.0% midpoint)</w:t>
            </w:r>
          </w:p>
        </w:tc>
        <w:tc>
          <w:tcPr>
            <w:tcW w:type="dxa" w:w="1728"/>
          </w:tcPr>
          <w:p>
            <w:r>
              <w:rPr>
                <w:rFonts w:ascii="Calibri" w:hAnsi="Calibri"/>
                <w:sz w:val="22"/>
              </w:rPr>
              <w:t>— Unchanged</w:t>
            </w:r>
          </w:p>
        </w:tc>
        <w:tc>
          <w:tcPr>
            <w:tcW w:type="dxa" w:w="1728"/>
          </w:tcPr>
          <w:p>
            <w:r>
              <w:rPr>
                <w:rFonts w:ascii="Calibri" w:hAnsi="Calibri"/>
                <w:sz w:val="22"/>
              </w:rPr>
              <w:t>~1.33%</w:t>
            </w:r>
          </w:p>
        </w:tc>
        <w:tc>
          <w:tcPr>
            <w:tcW w:type="dxa" w:w="1728"/>
          </w:tcPr>
          <w:p>
            <w:r>
              <w:rPr>
                <w:rFonts w:ascii="Calibri" w:hAnsi="Calibri"/>
                <w:sz w:val="22"/>
              </w:rPr>
              <w:t>Q1 came in at +1.7%, above the top of the range; management held guidance citing prudence around macro risks rather than any observed business deterioration.</w:t>
            </w:r>
          </w:p>
        </w:tc>
      </w:tr>
      <w:tr>
        <w:tc>
          <w:tcPr>
            <w:tcW w:type="dxa" w:w="1728"/>
          </w:tcPr>
          <w:p>
            <w:r>
              <w:rPr>
                <w:rFonts w:ascii="Calibri" w:hAnsi="Calibri"/>
                <w:sz w:val="22"/>
              </w:rPr>
              <w:t>Same-Store Expense Growth (FY 2026)</w:t>
            </w:r>
          </w:p>
        </w:tc>
        <w:tc>
          <w:tcPr>
            <w:tcW w:type="dxa" w:w="1728"/>
          </w:tcPr>
          <w:p>
            <w:r>
              <w:rPr>
                <w:rFonts w:ascii="Calibri" w:hAnsi="Calibri"/>
                <w:sz w:val="22"/>
              </w:rPr>
              <w:t>~2.5%–3.5% (implied)</w:t>
            </w:r>
          </w:p>
        </w:tc>
        <w:tc>
          <w:tcPr>
            <w:tcW w:type="dxa" w:w="1728"/>
          </w:tcPr>
          <w:p>
            <w:r>
              <w:rPr>
                <w:rFonts w:ascii="Calibri" w:hAnsi="Calibri"/>
                <w:sz w:val="22"/>
              </w:rPr>
              <w:t>— Unchanged</w:t>
            </w:r>
          </w:p>
        </w:tc>
        <w:tc>
          <w:tcPr>
            <w:tcW w:type="dxa" w:w="1728"/>
          </w:tcPr>
          <w:p>
            <w:r>
              <w:rPr>
                <w:rFonts w:ascii="Calibri" w:hAnsi="Calibri"/>
                <w:sz w:val="22"/>
              </w:rPr>
              <w:t>~2.83%</w:t>
            </w:r>
          </w:p>
        </w:tc>
        <w:tc>
          <w:tcPr>
            <w:tcW w:type="dxa" w:w="1728"/>
          </w:tcPr>
          <w:p>
            <w:r>
              <w:rPr>
                <w:rFonts w:ascii="Calibri" w:hAnsi="Calibri"/>
                <w:sz w:val="22"/>
              </w:rPr>
              <w:t>Property tax growth normalized to low-single digits after Life Storage integration reassessments anniversaried; expense outlook stable.</w:t>
            </w:r>
          </w:p>
        </w:tc>
      </w:tr>
      <w:tr>
        <w:tc>
          <w:tcPr>
            <w:tcW w:type="dxa" w:w="1728"/>
          </w:tcPr>
          <w:p>
            <w:r>
              <w:rPr>
                <w:rFonts w:ascii="Calibri" w:hAnsi="Calibri"/>
                <w:sz w:val="22"/>
              </w:rPr>
              <w:t>Total Acquisitions (FY 2026)</w:t>
            </w:r>
          </w:p>
        </w:tc>
        <w:tc>
          <w:tcPr>
            <w:tcW w:type="dxa" w:w="1728"/>
          </w:tcPr>
          <w:p>
            <w:r>
              <w:rPr>
                <w:rFonts w:ascii="Calibri" w:hAnsi="Calibri"/>
                <w:sz w:val="22"/>
              </w:rPr>
              <w:t>~$200M (primarily JV structures)</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Management noted recent deals priced at sub-5% initial cap rates without sufficient growth; disciplined on acquisitions, prefers asset-light JV structures.</w:t>
            </w:r>
          </w:p>
        </w:tc>
      </w:tr>
      <w:tr>
        <w:tc>
          <w:tcPr>
            <w:tcW w:type="dxa" w:w="1728"/>
          </w:tcPr>
          <w:p>
            <w:r>
              <w:rPr>
                <w:rFonts w:ascii="Calibri" w:hAnsi="Calibri"/>
                <w:sz w:val="22"/>
              </w:rPr>
              <w:t>Bridge Loan Program Balance</w:t>
            </w:r>
          </w:p>
        </w:tc>
        <w:tc>
          <w:tcPr>
            <w:tcW w:type="dxa" w:w="1728"/>
          </w:tcPr>
          <w:p>
            <w:r>
              <w:rPr>
                <w:rFonts w:ascii="Calibri" w:hAnsi="Calibri"/>
                <w:sz w:val="22"/>
              </w:rPr>
              <w:t>~$1.5B average (maintained)</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Q1 originations were light due to slower transaction activity; management noted approvals for future loans remained healthy.</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drifted modestly higher since the Q1 print — Q2 Core FFO consensus is up ~$0.005 and FY 2026 Core FFO is up ~$0.01 — tracking guidance but not pricing in a raise; same-store revenue estimates have moved up more meaningfully (+28 bps for Q2, +13 bps for FY), suggesting the street is gradually extrapolating the Q1 acceleration but still leaving room for upside.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Core FFO/Share (Q2 2026)</w:t>
            </w:r>
          </w:p>
        </w:tc>
        <w:tc>
          <w:tcPr>
            <w:tcW w:type="dxa" w:w="1080"/>
          </w:tcPr>
          <w:p>
            <w:r>
              <w:rPr>
                <w:rFonts w:ascii="Calibri" w:hAnsi="Calibri"/>
                <w:sz w:val="22"/>
              </w:rPr>
              <w:t>$2.074</w:t>
            </w:r>
          </w:p>
        </w:tc>
        <w:tc>
          <w:tcPr>
            <w:tcW w:type="dxa" w:w="1080"/>
          </w:tcPr>
          <w:p>
            <w:r>
              <w:rPr>
                <w:rFonts w:ascii="Calibri" w:hAnsi="Calibri"/>
                <w:sz w:val="22"/>
              </w:rPr>
              <w:t>$2.079</w:t>
            </w:r>
          </w:p>
        </w:tc>
        <w:tc>
          <w:tcPr>
            <w:tcW w:type="dxa" w:w="1080"/>
          </w:tcPr>
          <w:p>
            <w:r>
              <w:rPr>
                <w:rFonts w:ascii="Calibri" w:hAnsi="Calibri"/>
                <w:sz w:val="22"/>
              </w:rPr>
              <w:t>+0.2%</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Core FFO/Share (FY 2026)</w:t>
            </w:r>
          </w:p>
        </w:tc>
        <w:tc>
          <w:tcPr>
            <w:tcW w:type="dxa" w:w="1080"/>
          </w:tcPr>
          <w:p>
            <w:r>
              <w:rPr>
                <w:rFonts w:ascii="Calibri" w:hAnsi="Calibri"/>
                <w:sz w:val="22"/>
              </w:rPr>
              <w:t>$8.286</w:t>
            </w:r>
          </w:p>
        </w:tc>
        <w:tc>
          <w:tcPr>
            <w:tcW w:type="dxa" w:w="1080"/>
          </w:tcPr>
          <w:p>
            <w:r>
              <w:rPr>
                <w:rFonts w:ascii="Calibri" w:hAnsi="Calibri"/>
                <w:sz w:val="22"/>
              </w:rPr>
              <w:t>$8.296</w:t>
            </w:r>
          </w:p>
        </w:tc>
        <w:tc>
          <w:tcPr>
            <w:tcW w:type="dxa" w:w="1080"/>
          </w:tcPr>
          <w:p>
            <w:r>
              <w:rPr>
                <w:rFonts w:ascii="Calibri" w:hAnsi="Calibri"/>
                <w:sz w:val="22"/>
              </w:rPr>
              <w:t>+0.1%</w:t>
            </w:r>
          </w:p>
        </w:tc>
        <w:tc>
          <w:tcPr>
            <w:tcW w:type="dxa" w:w="1080"/>
          </w:tcPr>
          <w:p>
            <w:r>
              <w:rPr>
                <w:rFonts w:ascii="Calibri" w:hAnsi="Calibri"/>
                <w:sz w:val="22"/>
              </w:rPr>
              <w:t>$8.05–$8.35 ($8.20 mid)</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+1.2% above mid</w:t>
            </w:r>
          </w:p>
        </w:tc>
      </w:tr>
      <w:tr>
        <w:tc>
          <w:tcPr>
            <w:tcW w:type="dxa" w:w="1080"/>
          </w:tcPr>
          <w:p>
            <w:r>
              <w:rPr>
                <w:rFonts w:ascii="Calibri" w:hAnsi="Calibri"/>
                <w:sz w:val="22"/>
              </w:rPr>
              <w:t>SS Revenue Growth YoY (Q2 2026)</w:t>
            </w:r>
          </w:p>
        </w:tc>
        <w:tc>
          <w:tcPr>
            <w:tcW w:type="dxa" w:w="1080"/>
          </w:tcPr>
          <w:p>
            <w:r>
              <w:rPr>
                <w:rFonts w:ascii="Calibri" w:hAnsi="Calibri"/>
                <w:sz w:val="22"/>
              </w:rPr>
              <w:t>+0.92%</w:t>
            </w:r>
          </w:p>
        </w:tc>
        <w:tc>
          <w:tcPr>
            <w:tcW w:type="dxa" w:w="1080"/>
          </w:tcPr>
          <w:p>
            <w:r>
              <w:rPr>
                <w:rFonts w:ascii="Calibri" w:hAnsi="Calibri"/>
                <w:sz w:val="22"/>
              </w:rPr>
              <w:t>+1.20%</w:t>
            </w:r>
          </w:p>
        </w:tc>
        <w:tc>
          <w:tcPr>
            <w:tcW w:type="dxa" w:w="1080"/>
          </w:tcPr>
          <w:p>
            <w:r>
              <w:rPr>
                <w:rFonts w:ascii="Calibri" w:hAnsi="Calibri"/>
                <w:sz w:val="22"/>
              </w:rPr>
              <w:t>+28 bps</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SS Revenue Growth YoY (FY 2026)</w:t>
            </w:r>
          </w:p>
        </w:tc>
        <w:tc>
          <w:tcPr>
            <w:tcW w:type="dxa" w:w="1080"/>
          </w:tcPr>
          <w:p>
            <w:r>
              <w:rPr>
                <w:rFonts w:ascii="Calibri" w:hAnsi="Calibri"/>
                <w:sz w:val="22"/>
              </w:rPr>
              <w:t>+1.21%</w:t>
            </w:r>
          </w:p>
        </w:tc>
        <w:tc>
          <w:tcPr>
            <w:tcW w:type="dxa" w:w="1080"/>
          </w:tcPr>
          <w:p>
            <w:r>
              <w:rPr>
                <w:rFonts w:ascii="Calibri" w:hAnsi="Calibri"/>
                <w:sz w:val="22"/>
              </w:rPr>
              <w:t>+1.33%</w:t>
            </w:r>
          </w:p>
        </w:tc>
        <w:tc>
          <w:tcPr>
            <w:tcW w:type="dxa" w:w="1080"/>
          </w:tcPr>
          <w:p>
            <w:r>
              <w:rPr>
                <w:rFonts w:ascii="Calibri" w:hAnsi="Calibri"/>
                <w:sz w:val="22"/>
              </w:rPr>
              <w:t>+12 bps</w:t>
            </w:r>
          </w:p>
        </w:tc>
        <w:tc>
          <w:tcPr>
            <w:tcW w:type="dxa" w:w="1080"/>
          </w:tcPr>
          <w:p>
            <w:r>
              <w:rPr>
                <w:rFonts w:ascii="Calibri" w:hAnsi="Calibri"/>
                <w:sz w:val="22"/>
              </w:rPr>
              <w:t>0.0%–2.0% (1.0% mid)</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+33 bps above mid</w:t>
            </w:r>
          </w:p>
        </w:tc>
      </w:tr>
      <w:tr>
        <w:tc>
          <w:tcPr>
            <w:tcW w:type="dxa" w:w="1080"/>
          </w:tcPr>
          <w:p>
            <w:r>
              <w:rPr>
                <w:rFonts w:ascii="Calibri" w:hAnsi="Calibri"/>
                <w:sz w:val="22"/>
              </w:rPr>
              <w:t>SS Occupancy (Q2 2026)</w:t>
            </w:r>
          </w:p>
        </w:tc>
        <w:tc>
          <w:tcPr>
            <w:tcW w:type="dxa" w:w="1080"/>
          </w:tcPr>
          <w:p>
            <w:r>
              <w:rPr>
                <w:rFonts w:ascii="Calibri" w:hAnsi="Calibri"/>
                <w:sz w:val="22"/>
              </w:rPr>
              <w:t>93.34%</w:t>
            </w:r>
          </w:p>
        </w:tc>
        <w:tc>
          <w:tcPr>
            <w:tcW w:type="dxa" w:w="1080"/>
          </w:tcPr>
          <w:p>
            <w:r>
              <w:rPr>
                <w:rFonts w:ascii="Calibri" w:hAnsi="Calibri"/>
                <w:sz w:val="22"/>
              </w:rPr>
              <w:t>93.76%</w:t>
            </w:r>
          </w:p>
        </w:tc>
        <w:tc>
          <w:tcPr>
            <w:tcW w:type="dxa" w:w="1080"/>
          </w:tcPr>
          <w:p>
            <w:r>
              <w:rPr>
                <w:rFonts w:ascii="Calibri" w:hAnsi="Calibri"/>
                <w:sz w:val="22"/>
              </w:rPr>
              <w:t>+42 bps</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Estimates are tracking guidance closely with a slight upward drift, consistent with a market that believes the recovery is real but is waiting for the Q2 print to confirm before pricing in a guidance raise. The +42 bps upward revision to Q2 occupancy consensus is the most notable move, reflecting peer read-throughs from CubeSmart (occupancy gap narrowed to 20 bps by end of April) and PSA (occupancy positive YoY in Q1).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EXR has gained ~5% since the Q1 earnings date (April 28, 2026) but has lagged peers PSA (+9%) and CUBE (+7%), suggesting the market has not fully credited EXR for the same fundamental improvement — a guidance raise at Q2 could be the catalyst to close that gap.</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EXR vs PSA vs CUBE — Indexed to 100 at Q1 2026 Earnings Date (Apr 28, 2026). Sector ETF proxy: PSA and CUBE used as self-storage peer comparators. Source: Yahoo Finance / Stock Price Data.</w:t>
      </w:r>
    </w:p>
    <w:p>
      <w:r>
        <w:rPr>
          <w:rFonts w:ascii="Calibri" w:hAnsi="Calibri"/>
          <w:color w:val="525866"/>
          <w:sz w:val="22"/>
        </w:rPr>
        <w:t xml:space="preserve">Since the Q1 2026 earnings date (April 28, 2026), EXR has risen from $141.02 to $148.29 (+5.2%), underperforming PSA ($297.14 → $324.02, +9.1%) and CUBE ($39.60 → $42.28, +6.8%). The relative underperformance is notable given EXR's Q1 beat was arguably stronger on a same-store revenue basis (+134 bps above consensus). Two material events are marked: (1) </w:t>
      </w:r>
      <w:r>
        <w:rPr>
          <w:rFonts w:ascii="Calibri" w:hAnsi="Calibri"/>
          <w:b/>
          <w:color w:val="525866"/>
          <w:sz w:val="22"/>
        </w:rPr>
        <w:t>June 25, 2026</w:t>
      </w:r>
      <w:r>
        <w:rPr>
          <w:rFonts w:ascii="Calibri" w:hAnsi="Calibri"/>
          <w:color w:val="525866"/>
          <w:sz w:val="22"/>
        </w:rPr>
        <w:t xml:space="preserve">: EXR priced $550M in 4.900% Senior Notes due 2032, proceeds used to repay revolving credit and fund potential acquisitions; (2) </w:t>
      </w:r>
      <w:r>
        <w:rPr>
          <w:rFonts w:ascii="Calibri" w:hAnsi="Calibri"/>
          <w:b/>
          <w:color w:val="525866"/>
          <w:sz w:val="22"/>
        </w:rPr>
        <w:t>July 6, 2026</w:t>
      </w:r>
      <w:r>
        <w:rPr>
          <w:rFonts w:ascii="Calibri" w:hAnsi="Calibri"/>
          <w:color w:val="525866"/>
          <w:sz w:val="22"/>
        </w:rPr>
        <w:t>: Notes offering completed. The debt issuance is balance-sheet neutral (refinancing revolving credit) and did not materially move the stock. The lagging performance vs. peers despite comparable fundamentals suggests EXR may be pricing in more macro risk or investor skepticism about the pace of guidance revision — both of which could reverse on a strong Q2 print with a guidance raise. Source: Stock Price Data (Yahoo Finance).</w:t>
      </w:r>
    </w:p>
    <w:p>
      <w:r>
        <w:br w:type="page"/>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color w:val="525866"/>
          <w:sz w:val="22"/>
        </w:rPr>
        <w:t>Both CubeSmart (CUBE, reported May 1) and Public Storage (PSA, reported April 28) provided forward-looking commentary on Q2 2026 trends that are broadly positive for EXR — improving move-in rates, narrowing occupancy gaps, and easing supply headwinds all point to a strong leasing season, supporting the case for EXR to beat Q2 consensus and raise guidance.</w:t>
      </w:r>
    </w:p>
    <w:p>
      <w:r>
        <w:rPr>
          <w:rFonts w:ascii="Calibri" w:hAnsi="Calibri"/>
          <w:b/>
          <w:color w:val="525866"/>
          <w:sz w:val="22"/>
        </w:rPr>
        <w:t xml:space="preserve">Note: </w:t>
      </w:r>
      <w:r>
        <w:rPr>
          <w:rFonts w:ascii="Calibri" w:hAnsi="Calibri"/>
          <w:i/>
          <w:color w:val="525866"/>
          <w:sz w:val="22"/>
        </w:rPr>
        <w:t>Only commentary from Q1 2026 earnings calls (April–May 2026) that explicitly addresses Q2 2026 trends or the current operating environment is included below. Prior-quarter results commentary has been excluded.</w:t>
      </w:r>
    </w:p>
    <w:p>
      <w:pPr>
        <w:pStyle w:val="Heading3"/>
      </w:pPr>
      <w:r>
        <w:rPr>
          <w:rFonts w:ascii="Calibri" w:hAnsi="Calibri"/>
          <w:b/>
          <w:color w:val="3B4259"/>
          <w:sz w:val="24"/>
        </w:rPr>
        <w:t>CubeSmart (CUBE) — Q1 2026 Earnings Call (May 1, 2026)</w:t>
      </w:r>
    </w:p>
    <w:p>
      <w:pPr>
        <w:pStyle w:val="ListBullet"/>
        <w:ind w:left="360" w:hanging="360"/>
      </w:pPr>
      <w:r>
        <w:rPr>
          <w:rFonts w:ascii="Calibri" w:hAnsi="Calibri"/>
          <w:b/>
          <w:color w:val="525866"/>
          <w:sz w:val="22"/>
        </w:rPr>
        <w:t xml:space="preserve">Move-in rates up 2% YoY through Q1 and held at +2% through April: </w:t>
      </w:r>
      <w:r>
        <w:rPr>
          <w:rFonts w:ascii="Calibri" w:hAnsi="Calibri"/>
          <w:color w:val="525866"/>
          <w:sz w:val="22"/>
        </w:rPr>
        <w:t>"Move-in rates ended the quarter up 2%, and that plus 2% spread held through the month of April." Average rent rate on rentals in April was also +2%. This is a direct positive read-through for EXR, which reported Q1 new customer rates averaging ~2.5% (per sq ft basis) and saw moderation to ~1% in March — CUBE's April data suggests the moderation may have been temporary and rates re-accelerated into Q2.</w:t>
      </w:r>
    </w:p>
    <w:p>
      <w:pPr>
        <w:pStyle w:val="ListBullet"/>
        <w:ind w:left="360" w:hanging="360"/>
      </w:pPr>
      <w:r>
        <w:rPr>
          <w:rFonts w:ascii="Calibri" w:hAnsi="Calibri"/>
          <w:b/>
          <w:color w:val="525866"/>
          <w:sz w:val="22"/>
        </w:rPr>
        <w:t xml:space="preserve">Occupancy gap narrowed to just 20 bps YoY by end of April: </w:t>
      </w:r>
      <w:r>
        <w:rPr>
          <w:rFonts w:ascii="Calibri" w:hAnsi="Calibri"/>
          <w:color w:val="525866"/>
          <w:sz w:val="22"/>
        </w:rPr>
        <w:t>"Steady demand, when combined with fewer vacates, resulted in a 240% increase in net rentals for the quarter, helping to narrow the year-over-year occupancy gap to now 20 basis points by the end of April." Rentals (move-ins) were up ~1% YoY in April. This is a strong read-through for EXR's Q2 occupancy, which consensus currently models at ~93.8% vs. 94.2% in Q2 2025 (-40 bps) — CUBE's data suggests the gap may be narrowing faster than modeled.</w:t>
      </w:r>
    </w:p>
    <w:p>
      <w:pPr>
        <w:pStyle w:val="ListBullet"/>
        <w:ind w:left="360" w:hanging="360"/>
      </w:pPr>
      <w:r>
        <w:rPr>
          <w:rFonts w:ascii="Calibri" w:hAnsi="Calibri"/>
          <w:b/>
          <w:color w:val="525866"/>
          <w:sz w:val="22"/>
        </w:rPr>
        <w:t xml:space="preserve">Vacates remain down YoY into Q2: </w:t>
      </w:r>
      <w:r>
        <w:rPr>
          <w:rFonts w:ascii="Calibri" w:hAnsi="Calibri"/>
          <w:color w:val="525866"/>
          <w:sz w:val="22"/>
        </w:rPr>
        <w:t>"Still down year-over-year on vacates" in Q2 so far. Vacates were down 3.9% in Q1. Muted vacate activity is a key driver of occupancy stability and supports EXR's tenant length-of-stay improvement thesis (64% of tenants &gt;12 months, up 167 bps YoY).</w:t>
      </w:r>
    </w:p>
    <w:p>
      <w:pPr>
        <w:pStyle w:val="ListBullet"/>
        <w:ind w:left="360" w:hanging="360"/>
      </w:pPr>
      <w:r>
        <w:rPr>
          <w:rFonts w:ascii="Calibri" w:hAnsi="Calibri"/>
          <w:b/>
          <w:color w:val="525866"/>
          <w:sz w:val="22"/>
        </w:rPr>
        <w:t xml:space="preserve">ECRI acceptance unchanged, no consumer pushback: </w:t>
      </w:r>
      <w:r>
        <w:rPr>
          <w:rFonts w:ascii="Calibri" w:hAnsi="Calibri"/>
          <w:color w:val="525866"/>
          <w:sz w:val="22"/>
        </w:rPr>
        <w:t>"The magnitude and the pace of increases to the existing customers is generally unchanged from what we would have seen first quarter of '25 and here into April on a year-over-year basis." No measurable change in consumer behavior on ECRIs. Existing customer metrics remain strong with no change to attrition rates or credit. This validates EXR's Q1 commentary that bad debt was down to 1.5% and ECRI acceptance remained healthy.</w:t>
      </w:r>
    </w:p>
    <w:p>
      <w:pPr>
        <w:pStyle w:val="ListBullet"/>
        <w:ind w:left="360" w:hanging="360"/>
      </w:pPr>
      <w:r>
        <w:rPr>
          <w:rFonts w:ascii="Calibri" w:hAnsi="Calibri"/>
          <w:b/>
          <w:color w:val="525866"/>
          <w:sz w:val="22"/>
        </w:rPr>
        <w:t xml:space="preserve">Supply headwinds easing, Sunbelt showing green shoots: </w:t>
      </w:r>
      <w:r>
        <w:rPr>
          <w:rFonts w:ascii="Calibri" w:hAnsi="Calibri"/>
          <w:color w:val="525866"/>
          <w:sz w:val="22"/>
        </w:rPr>
        <w:t>"The wave of new stores from the last couple of years continues to lease up, while the forward pipeline remains lighter." Miami swung to positive same-store revenue growth; Phoenix and Atlanta making "meaningful progress" in recovery. Northeast/Midwest (Acela Corridor) continues to outperform. CUBE management is "very enthusiastic by how the spring has started." This aligns with EXR's Q1 commentary that same-store sq ft facing new competitor deliveries will fall to 6% in 2026 from 8% in 2025.</w:t>
      </w:r>
    </w:p>
    <w:p>
      <w:pPr>
        <w:pStyle w:val="ListBullet"/>
        <w:ind w:left="360" w:hanging="360"/>
      </w:pPr>
      <w:r>
        <w:rPr>
          <w:rFonts w:ascii="Calibri" w:hAnsi="Calibri"/>
          <w:b/>
          <w:color w:val="525866"/>
          <w:sz w:val="22"/>
        </w:rPr>
        <w:t xml:space="preserve">Full-year guidance maintained, accelerating NOI growth expected through year: </w:t>
      </w:r>
      <w:r>
        <w:rPr>
          <w:rFonts w:ascii="Calibri" w:hAnsi="Calibri"/>
          <w:color w:val="525866"/>
          <w:sz w:val="22"/>
        </w:rPr>
        <w:t>"Our guidance implies that there is, within the range, an opportunity for top line to grow throughout the year... you're looking at accelerating NOI growth then throughout the year." CUBE expects "continued gradual improvement throughout 2026" without a macro catalyst. This is consistent with EXR's own guidance posture and supports the view that Q2 should show sequential improvement from Q1.</w:t>
      </w:r>
    </w:p>
    <w:p>
      <w:pPr>
        <w:pStyle w:val="Heading3"/>
      </w:pPr>
      <w:r>
        <w:rPr>
          <w:rFonts w:ascii="Calibri" w:hAnsi="Calibri"/>
          <w:b/>
          <w:color w:val="3B4259"/>
          <w:sz w:val="24"/>
        </w:rPr>
        <w:t>Public Storage (PSA) — Q1 2026 Earnings Call (April 28, 2026)</w:t>
      </w:r>
    </w:p>
    <w:p>
      <w:pPr>
        <w:pStyle w:val="ListBullet"/>
        <w:ind w:left="360" w:hanging="360"/>
      </w:pPr>
      <w:r>
        <w:rPr>
          <w:rFonts w:ascii="Calibri" w:hAnsi="Calibri"/>
          <w:b/>
          <w:color w:val="525866"/>
          <w:sz w:val="22"/>
        </w:rPr>
        <w:t xml:space="preserve">Move-in rates improved to flat-to-positive in April after -2.4% in Q1: </w:t>
      </w:r>
      <w:r>
        <w:rPr>
          <w:rFonts w:ascii="Calibri" w:hAnsi="Calibri"/>
          <w:color w:val="525866"/>
          <w:sz w:val="22"/>
        </w:rPr>
        <w:t>"Move-in rents, while still negative, came in better than expected at minus 2.4% versus full year expectations of down mid-single digits." Rates showed "improving trends" and were "flat to a touch positive through the month of April." PSA's move-in rate trajectory (from -2.4% in Q1 to flat/positive in April) is a positive directional read-through for EXR, which was already at +2.5% in Q1 — suggesting EXR's rate advantage vs. PSA is holding or widening.</w:t>
      </w:r>
    </w:p>
    <w:p>
      <w:pPr>
        <w:pStyle w:val="ListBullet"/>
        <w:ind w:left="360" w:hanging="360"/>
      </w:pPr>
      <w:r>
        <w:rPr>
          <w:rFonts w:ascii="Calibri" w:hAnsi="Calibri"/>
          <w:b/>
          <w:color w:val="525866"/>
          <w:sz w:val="22"/>
        </w:rPr>
        <w:t xml:space="preserve">Occupancy positive YoY in Q1 (+0.4%) vs. guidance of flat: </w:t>
      </w:r>
      <w:r>
        <w:rPr>
          <w:rFonts w:ascii="Calibri" w:hAnsi="Calibri"/>
          <w:color w:val="525866"/>
          <w:sz w:val="22"/>
        </w:rPr>
        <w:t>"Occupancy was positive year-over-year by 0.4% versus guidance assumed at flat for the year." In April, occupancy was "flat to a touch better." PSA's occupancy beat vs. guidance is a positive read-through for the sector, though PSA's same-store pool expanded significantly (adding ~17M sq ft of Sunbelt assets), which dilutes the comparison.</w:t>
      </w:r>
    </w:p>
    <w:p>
      <w:pPr>
        <w:pStyle w:val="ListBullet"/>
        <w:ind w:left="360" w:hanging="360"/>
      </w:pPr>
      <w:r>
        <w:rPr>
          <w:rFonts w:ascii="Calibri" w:hAnsi="Calibri"/>
          <w:b/>
          <w:color w:val="525866"/>
          <w:sz w:val="22"/>
        </w:rPr>
        <w:t xml:space="preserve">Promotions down consistently over the past year — a leading indicator: </w:t>
      </w:r>
      <w:r>
        <w:rPr>
          <w:rFonts w:ascii="Calibri" w:hAnsi="Calibri"/>
          <w:color w:val="525866"/>
          <w:sz w:val="22"/>
        </w:rPr>
        <w:t>"Promotions have been down really pretty consistently over the last year." Reduced promotional activity alongside improving rates is an "encouraging" leading indicator for pricing power sustainability. This supports EXR's Q1 commentary on the 300 bps gap between gross (6%) and net (3%) new customer rates narrowing as discounting normalizes.</w:t>
      </w:r>
    </w:p>
    <w:p>
      <w:pPr>
        <w:pStyle w:val="ListBullet"/>
        <w:ind w:left="360" w:hanging="360"/>
      </w:pPr>
      <w:r>
        <w:rPr>
          <w:rFonts w:ascii="Calibri" w:hAnsi="Calibri"/>
          <w:b/>
          <w:color w:val="525866"/>
          <w:sz w:val="22"/>
        </w:rPr>
        <w:t xml:space="preserve">Supply taking another leg lower in 2026 and into 2027: </w:t>
      </w:r>
      <w:r>
        <w:rPr>
          <w:rFonts w:ascii="Calibri" w:hAnsi="Calibri"/>
          <w:color w:val="525866"/>
          <w:sz w:val="22"/>
        </w:rPr>
        <w:t>"Supply takes another leg lower this year and probably further into next year." New development is "more challenging" due to longer timelines, higher financing costs, elevated construction costs, and declining revenues in Sunbelt markets — creating "economic barriers to entry." This is a multi-year tailwind for EXR's same-store revenue recovery.</w:t>
      </w:r>
    </w:p>
    <w:p>
      <w:pPr>
        <w:pStyle w:val="ListBullet"/>
        <w:ind w:left="360" w:hanging="360"/>
      </w:pPr>
      <w:r>
        <w:rPr>
          <w:rFonts w:ascii="Calibri" w:hAnsi="Calibri"/>
          <w:b/>
          <w:color w:val="525866"/>
          <w:sz w:val="22"/>
        </w:rPr>
        <w:t xml:space="preserve">LA rent restrictions headwind quantified at -80 bps for PSA full year: </w:t>
      </w:r>
      <w:r>
        <w:rPr>
          <w:rFonts w:ascii="Calibri" w:hAnsi="Calibri"/>
          <w:color w:val="525866"/>
          <w:sz w:val="22"/>
        </w:rPr>
        <w:t>PSA guided to an -80 bps impact on same-store performance from LA County rent restrictions (state of emergency assumed to remain all year). EXR guided to approximately -40 bps for its portfolio. PSA's LA exposure is larger, but the read-through confirms the headwind is real and manageable — and that EXR's -40 bps estimate is in the right ballpark.</w:t>
      </w:r>
    </w:p>
    <w:p>
      <w:pPr>
        <w:pStyle w:val="ListBullet"/>
        <w:ind w:left="360" w:hanging="360"/>
      </w:pPr>
      <w:r>
        <w:rPr>
          <w:rFonts w:ascii="Calibri" w:hAnsi="Calibri"/>
          <w:b/>
          <w:color w:val="525866"/>
          <w:sz w:val="22"/>
        </w:rPr>
        <w:t xml:space="preserve">Q2/Q3 same-store revenue growth expected to soften YoY before improving: </w:t>
      </w:r>
      <w:r>
        <w:rPr>
          <w:rFonts w:ascii="Calibri" w:hAnsi="Calibri"/>
          <w:color w:val="525866"/>
          <w:sz w:val="22"/>
        </w:rPr>
        <w:t>PSA management noted that year-over-year revenue growth "will soften mid-year, specifically in Q2 and Q3, before potentially improving" due to tougher prior-year comparisons from Q3/Q4 2025. This is a cautionary read-through for EXR's Q2 same-store revenue growth consensus of ~1.2% — if PSA faces comp headwinds, EXR may as well, though EXR's Q2 2025 comp (+0.5%) is easier than PSA's.</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$550M senior notes issuance (June 25–July 6), which signals balance sheet confidence and provides dry powder for acquisitions; analyst upgrades and price target increases in June–July reflect growing conviction in the recovery thesis ahead of Q2.</w:t>
      </w:r>
    </w:p>
    <w:p>
      <w:pPr>
        <w:pStyle w:val="ListBullet"/>
        <w:ind w:left="360" w:hanging="360"/>
      </w:pPr>
      <w:r>
        <w:rPr>
          <w:rFonts w:ascii="Calibri" w:hAnsi="Calibri"/>
          <w:b/>
          <w:color w:val="525866"/>
          <w:sz w:val="22"/>
        </w:rPr>
        <w:t xml:space="preserve">July 6, 2026 — $550M Senior Notes Offering Completed (8-K): </w:t>
      </w:r>
      <w:r>
        <w:rPr>
          <w:rFonts w:ascii="Calibri" w:hAnsi="Calibri"/>
          <w:color w:val="525866"/>
          <w:sz w:val="22"/>
        </w:rPr>
        <w:t xml:space="preserve">Extra Space Storage LP completed an underwritten public offering of $550M in 4.900% Senior Notes due February 1, 2032, at a public offering price of 99.702% of par. Proceeds used to repay revolving credit lines and commercial paper, with remaining capacity for general corporate purposes including potential acquisitions. Notes are fully guaranteed by EXR Inc. and its business trusts. </w:t>
      </w:r>
      <w:r>
        <w:rPr>
          <w:rFonts w:ascii="Calibri" w:hAnsi="Calibri"/>
          <w:b/>
          <w:color w:val="525866"/>
          <w:sz w:val="22"/>
        </w:rPr>
        <w:t xml:space="preserve">Implication: </w:t>
      </w:r>
      <w:r>
        <w:rPr>
          <w:rFonts w:ascii="Calibri" w:hAnsi="Calibri"/>
          <w:color w:val="525866"/>
          <w:sz w:val="22"/>
        </w:rPr>
        <w:t>Refinancing revolving credit with long-term fixed-rate debt at 4.9% locks in favorable rates and extends maturity profile; signals management confidence in the balance sheet and acquisition pipeline. Neutral to slightly positive for Q2 FFO (interest expense impact minimal given revolving credit was already outstanding).</w:t>
      </w:r>
    </w:p>
    <w:p>
      <w:pPr>
        <w:pStyle w:val="ListBullet"/>
        <w:ind w:left="360" w:hanging="360"/>
      </w:pPr>
      <w:r>
        <w:rPr>
          <w:rFonts w:ascii="Calibri" w:hAnsi="Calibri"/>
          <w:b/>
          <w:color w:val="525866"/>
          <w:sz w:val="22"/>
        </w:rPr>
        <w:t xml:space="preserve">June 25, 2026 — $550M Senior Notes Priced (8-K): </w:t>
      </w:r>
      <w:r>
        <w:rPr>
          <w:rFonts w:ascii="Calibri" w:hAnsi="Calibri"/>
          <w:color w:val="525866"/>
          <w:sz w:val="22"/>
        </w:rPr>
        <w:t xml:space="preserve">EXR priced the $550M 4.900% Senior Notes due 2032 via underwriting agreement with Wells Fargo Securities, J.P. Morgan Securities, and Truist Securities. </w:t>
      </w:r>
      <w:r>
        <w:rPr>
          <w:rFonts w:ascii="Calibri" w:hAnsi="Calibri"/>
          <w:b/>
          <w:color w:val="525866"/>
          <w:sz w:val="22"/>
        </w:rPr>
        <w:t xml:space="preserve">Implication: </w:t>
      </w:r>
      <w:r>
        <w:rPr>
          <w:rFonts w:ascii="Calibri" w:hAnsi="Calibri"/>
          <w:color w:val="525866"/>
          <w:sz w:val="22"/>
        </w:rPr>
        <w:t>Successful execution at tight spreads reflects strong credit market access; no change to operating guidance.</w:t>
      </w:r>
    </w:p>
    <w:p>
      <w:pPr>
        <w:pStyle w:val="ListBullet"/>
        <w:ind w:left="360" w:hanging="360"/>
      </w:pPr>
      <w:r>
        <w:rPr>
          <w:rFonts w:ascii="Calibri" w:hAnsi="Calibri"/>
          <w:b/>
          <w:color w:val="525866"/>
          <w:sz w:val="22"/>
        </w:rPr>
        <w:t xml:space="preserve">July 16, 2026 — Raymond James Initiates at Outperform, $44 PT: </w:t>
      </w:r>
      <w:r>
        <w:rPr>
          <w:rFonts w:ascii="Calibri" w:hAnsi="Calibri"/>
          <w:color w:val="525866"/>
          <w:sz w:val="22"/>
        </w:rPr>
        <w:t xml:space="preserve">Raymond James assumed coverage with an Outperform rating and $44 price objective. </w:t>
      </w:r>
      <w:r>
        <w:rPr>
          <w:rFonts w:ascii="Calibri" w:hAnsi="Calibri"/>
          <w:b/>
          <w:color w:val="525866"/>
          <w:sz w:val="22"/>
        </w:rPr>
        <w:t xml:space="preserve">Implication: </w:t>
      </w:r>
      <w:r>
        <w:rPr>
          <w:rFonts w:ascii="Calibri" w:hAnsi="Calibri"/>
          <w:color w:val="525866"/>
          <w:sz w:val="22"/>
        </w:rPr>
        <w:t>New coverage from a major firm adds to the bullish camp ahead of Q2 earnings; suggests the recovery thesis is gaining broader sell-side acceptance.</w:t>
      </w:r>
    </w:p>
    <w:p>
      <w:pPr>
        <w:pStyle w:val="ListBullet"/>
        <w:ind w:left="360" w:hanging="360"/>
      </w:pPr>
      <w:r>
        <w:rPr>
          <w:rFonts w:ascii="Calibri" w:hAnsi="Calibri"/>
          <w:b/>
          <w:color w:val="525866"/>
          <w:sz w:val="22"/>
        </w:rPr>
        <w:t xml:space="preserve">July 10, 2026 — UBS Raises PT to $163 (Buy); Barclays Raises PT to $172 (Overweight): </w:t>
      </w:r>
      <w:r>
        <w:rPr>
          <w:rFonts w:ascii="Calibri" w:hAnsi="Calibri"/>
          <w:color w:val="525866"/>
          <w:sz w:val="22"/>
        </w:rPr>
        <w:t xml:space="preserve">UBS increased its price target from $158 to $163 (Buy). Barclays lifted its price objective from $170 to $172 (Overweight). Both upgrades came on the same day, suggesting a coordinated positive view on the sector or EXR-specific catalysts. </w:t>
      </w:r>
      <w:r>
        <w:rPr>
          <w:rFonts w:ascii="Calibri" w:hAnsi="Calibri"/>
          <w:b/>
          <w:color w:val="525866"/>
          <w:sz w:val="22"/>
        </w:rPr>
        <w:t xml:space="preserve">Implication: </w:t>
      </w:r>
      <w:r>
        <w:rPr>
          <w:rFonts w:ascii="Calibri" w:hAnsi="Calibri"/>
          <w:color w:val="525866"/>
          <w:sz w:val="22"/>
        </w:rPr>
        <w:t>Dual PT raises from major banks signal growing conviction in EXR's recovery trajectory; current stock price (~$148) remains well below both targets, suggesting meaningful upside if Q2 delivers.</w:t>
      </w:r>
    </w:p>
    <w:p>
      <w:pPr>
        <w:pStyle w:val="ListBullet"/>
        <w:ind w:left="360" w:hanging="360"/>
      </w:pPr>
      <w:r>
        <w:rPr>
          <w:rFonts w:ascii="Calibri" w:hAnsi="Calibri"/>
          <w:b/>
          <w:color w:val="525866"/>
          <w:sz w:val="22"/>
        </w:rPr>
        <w:t xml:space="preserve">June 16, 2026 — Bank of America Upgrades to Neutral, Raises PT to $156: </w:t>
      </w:r>
      <w:r>
        <w:rPr>
          <w:rFonts w:ascii="Calibri" w:hAnsi="Calibri"/>
          <w:color w:val="525866"/>
          <w:sz w:val="22"/>
        </w:rPr>
        <w:t xml:space="preserve">BofA upgraded EXR from Underperform to Neutral and raised its price target from $147 to $156. </w:t>
      </w:r>
      <w:r>
        <w:rPr>
          <w:rFonts w:ascii="Calibri" w:hAnsi="Calibri"/>
          <w:b/>
          <w:color w:val="525866"/>
          <w:sz w:val="22"/>
        </w:rPr>
        <w:t xml:space="preserve">Implication: </w:t>
      </w:r>
      <w:r>
        <w:rPr>
          <w:rFonts w:ascii="Calibri" w:hAnsi="Calibri"/>
          <w:color w:val="525866"/>
          <w:sz w:val="22"/>
        </w:rPr>
        <w:t>Removal of the Underperform rating from a major bank is a meaningful sentiment shift; the upgrade to Neutral (not Buy) suggests BofA sees the recovery as real but wants to see Q2 confirmation before turning more constructive.</w:t>
      </w:r>
    </w:p>
    <w:p>
      <w:pPr>
        <w:pStyle w:val="ListBullet"/>
        <w:ind w:left="360" w:hanging="360"/>
      </w:pPr>
      <w:r>
        <w:rPr>
          <w:rFonts w:ascii="Calibri" w:hAnsi="Calibri"/>
          <w:b/>
          <w:color w:val="525866"/>
          <w:sz w:val="22"/>
        </w:rPr>
        <w:t xml:space="preserve">May 27, 2026 — Mizuho Raises PT to $155 (Outperform): </w:t>
      </w:r>
      <w:r>
        <w:rPr>
          <w:rFonts w:ascii="Calibri" w:hAnsi="Calibri"/>
          <w:color w:val="525866"/>
          <w:sz w:val="22"/>
        </w:rPr>
        <w:t xml:space="preserve">Mizuho boosted its price objective from $150 to $155 and maintained an Outperform rating. </w:t>
      </w:r>
      <w:r>
        <w:rPr>
          <w:rFonts w:ascii="Calibri" w:hAnsi="Calibri"/>
          <w:b/>
          <w:color w:val="525866"/>
          <w:sz w:val="22"/>
        </w:rPr>
        <w:t xml:space="preserve">Implication: </w:t>
      </w:r>
      <w:r>
        <w:rPr>
          <w:rFonts w:ascii="Calibri" w:hAnsi="Calibri"/>
          <w:color w:val="525866"/>
          <w:sz w:val="22"/>
        </w:rPr>
        <w:t>Continued positive analyst momentum; Mizuho's Outperform rating and $155 PT suggest the stock has ~5% upside from current levels even on a conservative view.</w:t>
      </w:r>
    </w:p>
    <w:p>
      <w:pPr>
        <w:pStyle w:val="ListBullet"/>
        <w:ind w:left="360" w:hanging="360"/>
      </w:pPr>
      <w:r>
        <w:rPr>
          <w:rFonts w:ascii="Calibri" w:hAnsi="Calibri"/>
          <w:b/>
          <w:color w:val="525866"/>
          <w:sz w:val="22"/>
        </w:rPr>
        <w:t xml:space="preserve">June 30, 2026 — Q2 2026 Earnings Date Announced: </w:t>
      </w:r>
      <w:r>
        <w:rPr>
          <w:rFonts w:ascii="Calibri" w:hAnsi="Calibri"/>
          <w:color w:val="525866"/>
          <w:sz w:val="22"/>
        </w:rPr>
        <w:t xml:space="preserve">EXR announced Q2 2026 results will be released after market close on July 28, 2026, with a conference call on July 29, 2026 at 1:00 PM ET. </w:t>
      </w:r>
      <w:r>
        <w:rPr>
          <w:rFonts w:ascii="Calibri" w:hAnsi="Calibri"/>
          <w:b/>
          <w:color w:val="525866"/>
          <w:sz w:val="22"/>
        </w:rPr>
        <w:t xml:space="preserve">Implication: </w:t>
      </w:r>
      <w:r>
        <w:rPr>
          <w:rFonts w:ascii="Calibri" w:hAnsi="Calibri"/>
          <w:color w:val="525866"/>
          <w:sz w:val="22"/>
        </w:rPr>
        <w:t>Confirms the earnings timeline; no pre-announcement or guidance update was issued alongside the date announcement, consistent with management's stated intent to wait for the full leasing season before revising guidance.</w:t>
      </w:r>
    </w:p>
    <w:p>
      <w:pPr>
        <w:pStyle w:val="ListBullet"/>
        <w:ind w:left="360" w:hanging="360"/>
      </w:pPr>
      <w:r>
        <w:rPr>
          <w:rFonts w:ascii="Calibri" w:hAnsi="Calibri"/>
          <w:b/>
          <w:color w:val="525866"/>
          <w:sz w:val="22"/>
        </w:rPr>
        <w:t xml:space="preserve">May 15, 2026 — Annual Meeting: Shareholders Elect Directors, Approve Auditor and Executive Pay (8-K): </w:t>
      </w:r>
      <w:r>
        <w:rPr>
          <w:rFonts w:ascii="Calibri" w:hAnsi="Calibri"/>
          <w:color w:val="525866"/>
          <w:sz w:val="22"/>
        </w:rPr>
        <w:t xml:space="preserve">Routine annual meeting outcomes with no material governance changes. </w:t>
      </w:r>
      <w:r>
        <w:rPr>
          <w:rFonts w:ascii="Calibri" w:hAnsi="Calibri"/>
          <w:b/>
          <w:color w:val="525866"/>
          <w:sz w:val="22"/>
        </w:rPr>
        <w:t xml:space="preserve">Implication: </w:t>
      </w:r>
      <w:r>
        <w:rPr>
          <w:rFonts w:ascii="Calibri" w:hAnsi="Calibri"/>
          <w:color w:val="525866"/>
          <w:sz w:val="22"/>
        </w:rPr>
        <w:t>No governance overhang heading into Q2 earnings.</w:t>
      </w:r>
    </w:p>
    <w:p>
      <w:pPr>
        <w:pStyle w:val="ListBullet"/>
        <w:ind w:left="360" w:hanging="360"/>
      </w:pPr>
      <w:r>
        <w:rPr>
          <w:rFonts w:ascii="Calibri" w:hAnsi="Calibri"/>
          <w:b/>
          <w:color w:val="525866"/>
          <w:sz w:val="22"/>
        </w:rPr>
        <w:t xml:space="preserve">April 28, 2026 — PSA/NSA Merger Context: </w:t>
      </w:r>
      <w:r>
        <w:rPr>
          <w:rFonts w:ascii="Calibri" w:hAnsi="Calibri"/>
          <w:color w:val="525866"/>
          <w:sz w:val="22"/>
        </w:rPr>
        <w:t xml:space="preserve">Public Storage announced acquisition of National Storage Affiliates (~$10.5B enterprise value, all-stock) expected to close Q3 2026. EXR management on the Q1 call characterized PSA as a "strong but familiar competitor" and does not expect a material change in competitive dynamics. </w:t>
      </w:r>
      <w:r>
        <w:rPr>
          <w:rFonts w:ascii="Calibri" w:hAnsi="Calibri"/>
          <w:b/>
          <w:color w:val="525866"/>
          <w:sz w:val="22"/>
        </w:rPr>
        <w:t xml:space="preserve">Implication: </w:t>
      </w:r>
      <w:r>
        <w:rPr>
          <w:rFonts w:ascii="Calibri" w:hAnsi="Calibri"/>
          <w:color w:val="525866"/>
          <w:sz w:val="22"/>
        </w:rPr>
        <w:t>Consolidation reduces the number of independent operators but EXR's scale and technology platform are positioned to widen the gap vs. smaller operators; near-term competitive dynamics unchanged.</w:t>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Only one insider transaction was filed since the Q1 earnings date — a discretionary open-market sale by the EVP/Chief Legal Officer in June — which is not unusual for an executive at this level and does not signal negative conviction; the absence of any open-market buys is notable but not alarming given the stock's modest appreciation since Q1.</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Name</w:t>
            </w:r>
          </w:p>
        </w:tc>
        <w:tc>
          <w:tcPr>
            <w:tcW w:type="dxa" w:w="1080"/>
            <w:shd w:val="clear" w:color="auto" w:fill="3B4259"/>
          </w:tcPr>
          <w:p>
            <w:r>
              <w:rPr>
                <w:rFonts w:ascii="Calibri" w:hAnsi="Calibri"/>
                <w:b/>
                <w:color w:val="FFFFFF"/>
                <w:sz w:val="22"/>
              </w:rPr>
              <w:t>Title</w:t>
            </w:r>
          </w:p>
        </w:tc>
        <w:tc>
          <w:tcPr>
            <w:tcW w:type="dxa" w:w="1080"/>
            <w:shd w:val="clear" w:color="auto" w:fill="3B4259"/>
          </w:tcPr>
          <w:p>
            <w:r>
              <w:rPr>
                <w:rFonts w:ascii="Calibri" w:hAnsi="Calibri"/>
                <w:b/>
                <w:color w:val="FFFFFF"/>
                <w:sz w:val="22"/>
              </w:rPr>
              <w:t>Transaction Type</w:t>
            </w:r>
          </w:p>
        </w:tc>
        <w:tc>
          <w:tcPr>
            <w:tcW w:type="dxa" w:w="1080"/>
            <w:shd w:val="clear" w:color="auto" w:fill="3B4259"/>
          </w:tcPr>
          <w:p>
            <w:r>
              <w:rPr>
                <w:rFonts w:ascii="Calibri" w:hAnsi="Calibri"/>
                <w:b/>
                <w:color w:val="FFFFFF"/>
                <w:sz w:val="22"/>
              </w:rPr>
              <w:t>Shares</w:t>
            </w:r>
          </w:p>
        </w:tc>
        <w:tc>
          <w:tcPr>
            <w:tcW w:type="dxa" w:w="1080"/>
            <w:shd w:val="clear" w:color="auto" w:fill="3B4259"/>
          </w:tcPr>
          <w:p>
            <w:r>
              <w:rPr>
                <w:rFonts w:ascii="Calibri" w:hAnsi="Calibri"/>
                <w:b/>
                <w:color w:val="FFFFFF"/>
                <w:sz w:val="22"/>
              </w:rPr>
              <w:t>Est. Value</w:t>
            </w:r>
          </w:p>
        </w:tc>
        <w:tc>
          <w:tcPr>
            <w:tcW w:type="dxa" w:w="1080"/>
            <w:shd w:val="clear" w:color="auto" w:fill="3B4259"/>
          </w:tcPr>
          <w:p>
            <w:r>
              <w:rPr>
                <w:rFonts w:ascii="Calibri" w:hAnsi="Calibri"/>
                <w:b/>
                <w:color w:val="FFFFFF"/>
                <w:sz w:val="22"/>
              </w:rPr>
              <w:t>Transaction Date</w:t>
            </w:r>
          </w:p>
        </w:tc>
        <w:tc>
          <w:tcPr>
            <w:tcW w:type="dxa" w:w="1080"/>
            <w:shd w:val="clear" w:color="auto" w:fill="3B4259"/>
          </w:tcPr>
          <w:p>
            <w:r>
              <w:rPr>
                <w:rFonts w:ascii="Calibri" w:hAnsi="Calibri"/>
                <w:b/>
                <w:color w:val="FFFFFF"/>
                <w:sz w:val="22"/>
              </w:rPr>
              <w:t>Filing Date</w:t>
            </w:r>
          </w:p>
        </w:tc>
        <w:tc>
          <w:tcPr>
            <w:tcW w:type="dxa" w:w="1080"/>
            <w:shd w:val="clear" w:color="auto" w:fill="3B4259"/>
          </w:tcPr>
          <w:p>
            <w:r>
              <w:rPr>
                <w:rFonts w:ascii="Calibri" w:hAnsi="Calibri"/>
                <w:b/>
                <w:color w:val="FFFFFF"/>
                <w:sz w:val="22"/>
              </w:rPr>
              <w:t>Note</w:t>
            </w:r>
          </w:p>
        </w:tc>
      </w:tr>
      <w:tr>
        <w:tc>
          <w:tcPr>
            <w:tcW w:type="dxa" w:w="1080"/>
          </w:tcPr>
          <w:p>
            <w:r>
              <w:rPr>
                <w:rFonts w:ascii="Calibri" w:hAnsi="Calibri"/>
                <w:sz w:val="22"/>
              </w:rPr>
              <w:t>McNeal Gwyn Goodson</w:t>
            </w:r>
          </w:p>
        </w:tc>
        <w:tc>
          <w:tcPr>
            <w:tcW w:type="dxa" w:w="1080"/>
          </w:tcPr>
          <w:p>
            <w:r>
              <w:rPr>
                <w:rFonts w:ascii="Calibri" w:hAnsi="Calibri"/>
                <w:sz w:val="22"/>
              </w:rPr>
              <w:t>EVP / Chief Legal Officer</w:t>
            </w:r>
          </w:p>
        </w:tc>
        <w:tc>
          <w:tcPr>
            <w:tcW w:type="dxa" w:w="1080"/>
          </w:tcPr>
          <w:p>
            <w:r>
              <w:rPr>
                <w:rFonts w:ascii="Calibri" w:hAnsi="Calibri"/>
                <w:sz w:val="22"/>
              </w:rPr>
              <w:t>Open Market Sale</w:t>
            </w:r>
          </w:p>
        </w:tc>
        <w:tc>
          <w:tcPr>
            <w:tcW w:type="dxa" w:w="1080"/>
          </w:tcPr>
          <w:p>
            <w:r>
              <w:rPr>
                <w:rFonts w:ascii="Calibri" w:hAnsi="Calibri"/>
                <w:sz w:val="22"/>
              </w:rPr>
              <w:t>3,300</w:t>
            </w:r>
          </w:p>
        </w:tc>
        <w:tc>
          <w:tcPr>
            <w:tcW w:type="dxa" w:w="1080"/>
          </w:tcPr>
          <w:p>
            <w:r>
              <w:rPr>
                <w:rFonts w:ascii="Calibri" w:hAnsi="Calibri"/>
                <w:sz w:val="22"/>
              </w:rPr>
              <w:t>~$496K (est. at ~$150/share)</w:t>
            </w:r>
          </w:p>
        </w:tc>
        <w:tc>
          <w:tcPr>
            <w:tcW w:type="dxa" w:w="1080"/>
          </w:tcPr>
          <w:p>
            <w:r>
              <w:rPr>
                <w:rFonts w:ascii="Calibri" w:hAnsi="Calibri"/>
                <w:sz w:val="22"/>
              </w:rPr>
              <w:t>June 11, 2026</w:t>
            </w:r>
          </w:p>
        </w:tc>
        <w:tc>
          <w:tcPr>
            <w:tcW w:type="dxa" w:w="1080"/>
          </w:tcPr>
          <w:p>
            <w:r>
              <w:rPr>
                <w:rFonts w:ascii="Calibri" w:hAnsi="Calibri"/>
                <w:sz w:val="22"/>
              </w:rPr>
              <w:t>June 12, 2026</w:t>
            </w:r>
          </w:p>
        </w:tc>
        <w:tc>
          <w:tcPr>
            <w:tcW w:type="dxa" w:w="1080"/>
          </w:tcPr>
          <w:p>
            <w:r>
              <w:rPr>
                <w:rFonts w:ascii="Calibri" w:hAnsi="Calibri"/>
                <w:sz w:val="22"/>
              </w:rPr>
              <w:t>Discretionary sale (not flagged as 10b5-1 plan). Retained 37,374 shares post-transaction. Routine in size for CLO-level executive.</w:t>
            </w:r>
          </w:p>
        </w:tc>
      </w:tr>
    </w:tbl>
    <w:p>
      <w:r>
        <w:rPr>
          <w:rFonts w:ascii="Calibri" w:hAnsi="Calibri"/>
          <w:color w:val="525866"/>
          <w:sz w:val="22"/>
        </w:rPr>
        <w:t>No open-market purchases were filed by any EXR insider since the Q1 2026 earnings date (April 28, 2026). The single sale by the CLO is modest in size (~$496K estimated) relative to her retained position (37,374 shares, ~$5.5M at current prices) and is not flagged as a 10b5-1 plan, suggesting it may be discretionary. The absence of insider buying is not a negative signal given the stock's modest appreciation since Q1 — insiders may be waiting for the Q2 print before adding. Overall, insider activity is quiet and does not provide a directional signal for the Q2 print. Source: SEC Form 4 Filings / Insider Transaction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