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Extra Space Storage (EXR)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Extra Space Storage Inc.</w:t>
            </w:r>
          </w:p>
        </w:tc>
      </w:tr>
      <w:tr>
        <w:tc>
          <w:tcPr>
            <w:tcW w:type="dxa" w:w="4320"/>
          </w:tcPr>
          <w:p>
            <w:r>
              <w:rPr>
                <w:rFonts w:ascii="Calibri" w:hAnsi="Calibri"/>
                <w:b/>
                <w:sz w:val="22"/>
              </w:rPr>
              <w:t>Ticker</w:t>
            </w:r>
          </w:p>
        </w:tc>
        <w:tc>
          <w:tcPr>
            <w:tcW w:type="dxa" w:w="4320"/>
          </w:tcPr>
          <w:p>
            <w:r>
              <w:rPr>
                <w:rFonts w:ascii="Calibri" w:hAnsi="Calibri"/>
                <w:sz w:val="22"/>
              </w:rPr>
              <w:t>EXR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28, 2026 (after market close); conference call July 29, 2026 at 1:00 PM ET</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 Sub-Sector</w:t>
            </w:r>
          </w:p>
        </w:tc>
        <w:tc>
          <w:tcPr>
            <w:tcW w:type="dxa" w:w="4320"/>
          </w:tcPr>
          <w:p>
            <w:r>
              <w:rPr>
                <w:rFonts w:ascii="Calibri" w:hAnsi="Calibri"/>
                <w:sz w:val="22"/>
              </w:rPr>
              <w:t>REIT — Self-Storage</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 Q1 momentum is carrying into Q2, estimates have drifted modestly higher since the last print, and the bar remains achievable; the single biggest swing factor is whether leasing-season strength translates into a guidance raise or management again opts for macro-driven caution.</w:t>
      </w:r>
    </w:p>
    <w:p>
      <w:r>
        <w:rPr>
          <w:rFonts w:ascii="Calibri" w:hAnsi="Calibri"/>
          <w:color w:val="525866"/>
          <w:sz w:val="22"/>
        </w:rPr>
        <w:t xml:space="preserve">Consensus Core FFO of </w:t>
      </w:r>
      <w:r>
        <w:rPr>
          <w:rFonts w:ascii="Calibri" w:hAnsi="Calibri"/>
          <w:b/>
          <w:color w:val="525866"/>
          <w:sz w:val="22"/>
        </w:rPr>
        <w:t>$2.08/share</w:t>
      </w:r>
      <w:r>
        <w:rPr>
          <w:rFonts w:ascii="Calibri" w:hAnsi="Calibri"/>
          <w:color w:val="525866"/>
          <w:sz w:val="22"/>
        </w:rPr>
        <w:t xml:space="preserve"> for Q2 2026 represents a modest bar relative to Q1's $2.04 beat, and same-store revenue growth consensus of ~1.2% sits comfortably within the full-year guidance range of (0.50)%–1.50%, suggesting the street is not pricing in an aggressive acceleration. Management entered Q2 with April trends described as a continuation of March — occupancy improving both sequentially and year-over-year, new customer rates modestly positive, and performance tracking ahead of budget — which collectively point to a print at or above consensus. Guidance posture has been deliberately conservative: despite Q1 same-store revenue growth of 1.7% exceeding the top of the full-year range, management held all guidance unchanged, explicitly citing macro uncertainty (inflation, consumer confidence, gas prices) rather than any observed business deterioration, and committed to revisiting annual guidance after Q2 once the leasing season has played out. Estimate revisions have been constructive but measured — Core FFO consensus for Q2 has drifted from ~$2.07 to ~$2.08 since the Q1 print, and full-year consensus has edged from ~$8.27 to ~$8.30, consistent with a market that believes the beat-and-hold pattern will continue but is not yet pricing in a meaningful raise. The stock has recovered from its post-Q1 lows (~$130) to ~$148, roughly flat to slightly positive since the last earnings date, suggesting the market has partially priced in improving fundamentals but has not yet rewarded a guidance raise that hasn't materialized. The key wildcard is whether management finally lifts full-year same-store revenue guidance — a raise to the 1.0%–2.0% range would be a meaningful positive catalyst, while another hold despite a Q2 beat could frustrate investors who have been waiting for the inflection to be officially acknowledged.</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 Core FFO of $2.08 and same-store revenue growth of ~1.2% are both achievable given Q1 momentum; same-store revenue growth is the bigger swing factor given the wide guidance range and management’s stated intent to revisit full-year guidance after leasing season.</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FY 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Core FFO per Share ($)</w:t>
            </w:r>
          </w:p>
        </w:tc>
        <w:tc>
          <w:tcPr>
            <w:tcW w:type="dxa" w:w="1234"/>
          </w:tcPr>
          <w:p>
            <w:r>
              <w:rPr>
                <w:rFonts w:ascii="Calibri" w:hAnsi="Calibri"/>
                <w:sz w:val="22"/>
              </w:rPr>
              <w:t>$2.04</w:t>
            </w:r>
          </w:p>
        </w:tc>
        <w:tc>
          <w:tcPr>
            <w:tcW w:type="dxa" w:w="1234"/>
          </w:tcPr>
          <w:p>
            <w:r>
              <w:rPr>
                <w:rFonts w:ascii="Calibri" w:hAnsi="Calibri"/>
                <w:sz w:val="22"/>
              </w:rPr>
              <w:t>$2.05</w:t>
            </w:r>
          </w:p>
        </w:tc>
        <w:tc>
          <w:tcPr>
            <w:tcW w:type="dxa" w:w="1234"/>
          </w:tcPr>
          <w:p>
            <w:r>
              <w:rPr>
                <w:rFonts w:ascii="Calibri" w:hAnsi="Calibri"/>
                <w:sz w:val="22"/>
              </w:rPr>
              <w:t>$2.08</w:t>
            </w:r>
          </w:p>
        </w:tc>
        <w:tc>
          <w:tcPr>
            <w:tcW w:type="dxa" w:w="1234"/>
          </w:tcPr>
          <w:p>
            <w:r>
              <w:rPr>
                <w:rFonts w:ascii="Calibri" w:hAnsi="Calibri"/>
                <w:sz w:val="22"/>
              </w:rPr>
              <w:t>+1.5%</w:t>
            </w:r>
          </w:p>
        </w:tc>
        <w:tc>
          <w:tcPr>
            <w:tcW w:type="dxa" w:w="1234"/>
          </w:tcPr>
          <w:p>
            <w:r>
              <w:rPr>
                <w:rFonts w:ascii="Calibri" w:hAnsi="Calibri"/>
                <w:sz w:val="22"/>
              </w:rPr>
              <w:t>$8.05–$8.35 FY ($8.20 mid)</w:t>
            </w:r>
          </w:p>
        </w:tc>
        <w:tc>
          <w:tcPr>
            <w:tcW w:type="dxa" w:w="1234"/>
          </w:tcPr>
          <w:p>
            <w:r>
              <w:rPr>
                <w:rFonts w:ascii="Calibri" w:hAnsi="Calibri"/>
                <w:sz w:val="22"/>
              </w:rPr>
              <w:t>Consensus $8.30 vs. mid $8.20; +1.2% above mid</w:t>
            </w:r>
          </w:p>
        </w:tc>
      </w:tr>
      <w:tr>
        <w:tc>
          <w:tcPr>
            <w:tcW w:type="dxa" w:w="1234"/>
          </w:tcPr>
          <w:p>
            <w:r>
              <w:rPr>
                <w:rFonts w:ascii="Calibri" w:hAnsi="Calibri"/>
                <w:sz w:val="22"/>
              </w:rPr>
              <w:t>Same-Store Revenue Growth YoY (%)</w:t>
            </w:r>
          </w:p>
        </w:tc>
        <w:tc>
          <w:tcPr>
            <w:tcW w:type="dxa" w:w="1234"/>
          </w:tcPr>
          <w:p>
            <w:r>
              <w:rPr>
                <w:rFonts w:ascii="Calibri" w:hAnsi="Calibri"/>
                <w:sz w:val="22"/>
              </w:rPr>
              <w:t>+1.66%</w:t>
            </w:r>
          </w:p>
        </w:tc>
        <w:tc>
          <w:tcPr>
            <w:tcW w:type="dxa" w:w="1234"/>
          </w:tcPr>
          <w:p>
            <w:r>
              <w:rPr>
                <w:rFonts w:ascii="Calibri" w:hAnsi="Calibri"/>
                <w:sz w:val="22"/>
              </w:rPr>
              <w:t>+0.50%</w:t>
            </w:r>
          </w:p>
        </w:tc>
        <w:tc>
          <w:tcPr>
            <w:tcW w:type="dxa" w:w="1234"/>
          </w:tcPr>
          <w:p>
            <w:r>
              <w:rPr>
                <w:rFonts w:ascii="Calibri" w:hAnsi="Calibri"/>
                <w:sz w:val="22"/>
              </w:rPr>
              <w:t>+1.20%</w:t>
            </w:r>
          </w:p>
        </w:tc>
        <w:tc>
          <w:tcPr>
            <w:tcW w:type="dxa" w:w="1234"/>
          </w:tcPr>
          <w:p>
            <w:r>
              <w:rPr>
                <w:rFonts w:ascii="Calibri" w:hAnsi="Calibri"/>
                <w:sz w:val="22"/>
              </w:rPr>
              <w:t>+70 bps vs. PY</w:t>
            </w:r>
          </w:p>
        </w:tc>
        <w:tc>
          <w:tcPr>
            <w:tcW w:type="dxa" w:w="1234"/>
          </w:tcPr>
          <w:p>
            <w:r>
              <w:rPr>
                <w:rFonts w:ascii="Calibri" w:hAnsi="Calibri"/>
                <w:sz w:val="22"/>
              </w:rPr>
              <w:t>(0.50)%–1.50% FY (0.50% mid)</w:t>
            </w:r>
          </w:p>
        </w:tc>
        <w:tc>
          <w:tcPr>
            <w:tcW w:type="dxa" w:w="1234"/>
          </w:tcPr>
          <w:p>
            <w:r>
              <w:rPr>
                <w:rFonts w:ascii="Calibri" w:hAnsi="Calibri"/>
                <w:sz w:val="22"/>
              </w:rPr>
              <w:t>Consensus 1.33% FY vs. mid 0.50%; well above mid</w:t>
            </w:r>
          </w:p>
        </w:tc>
      </w:tr>
      <w:tr>
        <w:tc>
          <w:tcPr>
            <w:tcW w:type="dxa" w:w="1234"/>
          </w:tcPr>
          <w:p>
            <w:r>
              <w:rPr>
                <w:rFonts w:ascii="Calibri" w:hAnsi="Calibri"/>
                <w:sz w:val="22"/>
              </w:rPr>
              <w:t>Same-Store NOI Growth YoY (%)</w:t>
            </w:r>
          </w:p>
        </w:tc>
        <w:tc>
          <w:tcPr>
            <w:tcW w:type="dxa" w:w="1234"/>
          </w:tcPr>
          <w:p>
            <w:r>
              <w:rPr>
                <w:rFonts w:ascii="Calibri" w:hAnsi="Calibri"/>
                <w:sz w:val="22"/>
              </w:rPr>
              <w:t>+1.24%</w:t>
            </w:r>
          </w:p>
        </w:tc>
        <w:tc>
          <w:tcPr>
            <w:tcW w:type="dxa" w:w="1234"/>
          </w:tcPr>
          <w:p>
            <w:r>
              <w:rPr>
                <w:rFonts w:ascii="Calibri" w:hAnsi="Calibri"/>
                <w:sz w:val="22"/>
              </w:rPr>
              <w:t>−3.1%</w:t>
            </w:r>
          </w:p>
        </w:tc>
        <w:tc>
          <w:tcPr>
            <w:tcW w:type="dxa" w:w="1234"/>
          </w:tcPr>
          <w:p>
            <w:r>
              <w:rPr>
                <w:rFonts w:ascii="Calibri" w:hAnsi="Calibri"/>
                <w:sz w:val="22"/>
              </w:rPr>
              <w:t>+0.58%</w:t>
            </w:r>
          </w:p>
        </w:tc>
        <w:tc>
          <w:tcPr>
            <w:tcW w:type="dxa" w:w="1234"/>
          </w:tcPr>
          <w:p>
            <w:r>
              <w:rPr>
                <w:rFonts w:ascii="Calibri" w:hAnsi="Calibri"/>
                <w:sz w:val="22"/>
              </w:rPr>
              <w:t>+368 bps vs. PY</w:t>
            </w:r>
          </w:p>
        </w:tc>
        <w:tc>
          <w:tcPr>
            <w:tcW w:type="dxa" w:w="1234"/>
          </w:tcPr>
          <w:p>
            <w:r>
              <w:rPr>
                <w:rFonts w:ascii="Calibri" w:hAnsi="Calibri"/>
                <w:sz w:val="22"/>
              </w:rPr>
              <w:t>(2.25)%–1.25% FY (0.50% mid)</w:t>
            </w:r>
          </w:p>
        </w:tc>
        <w:tc>
          <w:tcPr>
            <w:tcW w:type="dxa" w:w="1234"/>
          </w:tcPr>
          <w:p>
            <w:r>
              <w:rPr>
                <w:rFonts w:ascii="Calibri" w:hAnsi="Calibri"/>
                <w:sz w:val="22"/>
              </w:rPr>
              <w:t>Consensus 0.73% FY vs. mid −0.50%; above mid</w:t>
            </w:r>
          </w:p>
        </w:tc>
      </w:tr>
      <w:tr>
        <w:tc>
          <w:tcPr>
            <w:tcW w:type="dxa" w:w="1234"/>
          </w:tcPr>
          <w:p>
            <w:r>
              <w:rPr>
                <w:rFonts w:ascii="Calibri" w:hAnsi="Calibri"/>
                <w:sz w:val="22"/>
              </w:rPr>
              <w:t>Avg. Same-Store Occupancy (%)</w:t>
            </w:r>
          </w:p>
        </w:tc>
        <w:tc>
          <w:tcPr>
            <w:tcW w:type="dxa" w:w="1234"/>
          </w:tcPr>
          <w:p>
            <w:r>
              <w:rPr>
                <w:rFonts w:ascii="Calibri" w:hAnsi="Calibri"/>
                <w:sz w:val="22"/>
              </w:rPr>
              <w:t>92.7%</w:t>
            </w:r>
          </w:p>
        </w:tc>
        <w:tc>
          <w:tcPr>
            <w:tcW w:type="dxa" w:w="1234"/>
          </w:tcPr>
          <w:p>
            <w:r>
              <w:rPr>
                <w:rFonts w:ascii="Calibri" w:hAnsi="Calibri"/>
                <w:sz w:val="22"/>
              </w:rPr>
              <w:t>94.2%</w:t>
            </w:r>
          </w:p>
        </w:tc>
        <w:tc>
          <w:tcPr>
            <w:tcW w:type="dxa" w:w="1234"/>
          </w:tcPr>
          <w:p>
            <w:r>
              <w:rPr>
                <w:rFonts w:ascii="Calibri" w:hAnsi="Calibri"/>
                <w:sz w:val="22"/>
              </w:rPr>
              <w:t>93.8%</w:t>
            </w:r>
          </w:p>
        </w:tc>
        <w:tc>
          <w:tcPr>
            <w:tcW w:type="dxa" w:w="1234"/>
          </w:tcPr>
          <w:p>
            <w:r>
              <w:rPr>
                <w:rFonts w:ascii="Calibri" w:hAnsi="Calibri"/>
                <w:sz w:val="22"/>
              </w:rPr>
              <w:t>−40 bps vs. PY</w:t>
            </w:r>
          </w:p>
        </w:tc>
        <w:tc>
          <w:tcPr>
            <w:tcW w:type="dxa" w:w="1234"/>
          </w:tcPr>
          <w:p>
            <w:r>
              <w:rPr>
                <w:rFonts w:ascii="Calibri" w:hAnsi="Calibri"/>
                <w:sz w:val="22"/>
              </w:rPr>
              <w:t>N/A — not guided explicitly</w:t>
            </w:r>
          </w:p>
        </w:tc>
        <w:tc>
          <w:tcPr>
            <w:tcW w:type="dxa" w:w="1234"/>
          </w:tcPr>
          <w:p>
            <w:r>
              <w:rPr>
                <w:rFonts w:ascii="Calibri" w:hAnsi="Calibri"/>
                <w:sz w:val="22"/>
              </w:rPr>
              <w:t>N/A</w:t>
            </w:r>
          </w:p>
        </w:tc>
      </w:tr>
      <w:tr>
        <w:tc>
          <w:tcPr>
            <w:tcW w:type="dxa" w:w="1234"/>
          </w:tcPr>
          <w:p>
            <w:r>
              <w:rPr>
                <w:rFonts w:ascii="Calibri" w:hAnsi="Calibri"/>
                <w:sz w:val="22"/>
              </w:rPr>
              <w:t>Same-Store Revenue ($M)</w:t>
            </w:r>
          </w:p>
        </w:tc>
        <w:tc>
          <w:tcPr>
            <w:tcW w:type="dxa" w:w="1234"/>
          </w:tcPr>
          <w:p>
            <w:r>
              <w:rPr>
                <w:rFonts w:ascii="Calibri" w:hAnsi="Calibri"/>
                <w:sz w:val="22"/>
              </w:rPr>
              <w:t>$678.6M</w:t>
            </w:r>
          </w:p>
        </w:tc>
        <w:tc>
          <w:tcPr>
            <w:tcW w:type="dxa" w:w="1234"/>
          </w:tcPr>
          <w:p>
            <w:r>
              <w:rPr>
                <w:rFonts w:ascii="Calibri" w:hAnsi="Calibri"/>
                <w:sz w:val="22"/>
              </w:rPr>
              <w:t>$674.3M</w:t>
            </w:r>
          </w:p>
        </w:tc>
        <w:tc>
          <w:tcPr>
            <w:tcW w:type="dxa" w:w="1234"/>
          </w:tcPr>
          <w:p>
            <w:r>
              <w:rPr>
                <w:rFonts w:ascii="Calibri" w:hAnsi="Calibri"/>
                <w:sz w:val="22"/>
              </w:rPr>
              <w:t>$683.5M</w:t>
            </w:r>
          </w:p>
        </w:tc>
        <w:tc>
          <w:tcPr>
            <w:tcW w:type="dxa" w:w="1234"/>
          </w:tcPr>
          <w:p>
            <w:r>
              <w:rPr>
                <w:rFonts w:ascii="Calibri" w:hAnsi="Calibri"/>
                <w:sz w:val="22"/>
              </w:rPr>
              <w:t>+$9.2M / +1.4%</w:t>
            </w:r>
          </w:p>
        </w:tc>
        <w:tc>
          <w:tcPr>
            <w:tcW w:type="dxa" w:w="1234"/>
          </w:tcPr>
          <w:p>
            <w:r>
              <w:rPr>
                <w:rFonts w:ascii="Calibri" w:hAnsi="Calibri"/>
                <w:sz w:val="22"/>
              </w:rPr>
              <w:t>$2,740.8M FY (midpoint)</w:t>
            </w:r>
          </w:p>
        </w:tc>
        <w:tc>
          <w:tcPr>
            <w:tcW w:type="dxa" w:w="1234"/>
          </w:tcPr>
          <w:p>
            <w:r>
              <w:rPr>
                <w:rFonts w:ascii="Calibri" w:hAnsi="Calibri"/>
                <w:sz w:val="22"/>
              </w:rPr>
              <w:t>N/A — quarterly split not guided</w:t>
            </w:r>
          </w:p>
        </w:tc>
      </w:tr>
    </w:tbl>
    <w:p>
      <w:r>
        <w:rPr>
          <w:rFonts w:ascii="Calibri" w:hAnsi="Calibri"/>
          <w:i/>
          <w:color w:val="525866"/>
          <w:sz w:val="22"/>
        </w:rPr>
        <w:t>Source: Visible Alpha Consensus and Actuals Data. All consensus figures as of July 28, 2026. FY 2026 guidance as stated on Q1 2026 earnings call (April 28–29, 2026). Prior year actuals from Visible Alpha.</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Core FFO per Share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$2.04</w:t>
            </w:r>
          </w:p>
        </w:tc>
        <w:tc>
          <w:tcPr>
            <w:tcW w:type="dxa" w:w="1728"/>
          </w:tcPr>
          <w:p>
            <w:r>
              <w:rPr>
                <w:rFonts w:ascii="Calibri" w:hAnsi="Calibri"/>
                <w:sz w:val="22"/>
              </w:rPr>
              <w:t>$2.01</w:t>
            </w:r>
          </w:p>
        </w:tc>
        <w:tc>
          <w:tcPr>
            <w:tcW w:type="dxa" w:w="1728"/>
          </w:tcPr>
          <w:p>
            <w:r>
              <w:rPr>
                <w:rFonts w:ascii="Calibri" w:hAnsi="Calibri"/>
                <w:b/>
                <w:color w:val="30A46C"/>
                <w:sz w:val="22"/>
              </w:rPr>
              <w:t>+1.5%</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$2.08</w:t>
            </w:r>
          </w:p>
        </w:tc>
        <w:tc>
          <w:tcPr>
            <w:tcW w:type="dxa" w:w="1728"/>
          </w:tcPr>
          <w:p>
            <w:r>
              <w:rPr>
                <w:rFonts w:ascii="Calibri" w:hAnsi="Calibri"/>
                <w:sz w:val="22"/>
              </w:rPr>
              <w:t>$2.04</w:t>
            </w:r>
          </w:p>
        </w:tc>
        <w:tc>
          <w:tcPr>
            <w:tcW w:type="dxa" w:w="1728"/>
          </w:tcPr>
          <w:p>
            <w:r>
              <w:rPr>
                <w:rFonts w:ascii="Calibri" w:hAnsi="Calibri"/>
                <w:b/>
                <w:color w:val="30A46C"/>
                <w:sz w:val="22"/>
              </w:rPr>
              <w:t>+2.0%</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$2.08</w:t>
            </w:r>
          </w:p>
        </w:tc>
        <w:tc>
          <w:tcPr>
            <w:tcW w:type="dxa" w:w="1728"/>
          </w:tcPr>
          <w:p>
            <w:r>
              <w:rPr>
                <w:rFonts w:ascii="Calibri" w:hAnsi="Calibri"/>
                <w:sz w:val="22"/>
              </w:rPr>
              <w:t>$2.08</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Q2 2025</w:t>
            </w:r>
          </w:p>
        </w:tc>
        <w:tc>
          <w:tcPr>
            <w:tcW w:type="dxa" w:w="1728"/>
          </w:tcPr>
          <w:p>
            <w:r>
              <w:rPr>
                <w:rFonts w:ascii="Calibri" w:hAnsi="Calibri"/>
                <w:sz w:val="22"/>
              </w:rPr>
              <w:t>$2.05</w:t>
            </w:r>
          </w:p>
        </w:tc>
        <w:tc>
          <w:tcPr>
            <w:tcW w:type="dxa" w:w="1728"/>
          </w:tcPr>
          <w:p>
            <w:r>
              <w:rPr>
                <w:rFonts w:ascii="Calibri" w:hAnsi="Calibri"/>
                <w:sz w:val="22"/>
              </w:rPr>
              <w:t>$2.06</w:t>
            </w:r>
          </w:p>
        </w:tc>
        <w:tc>
          <w:tcPr>
            <w:tcW w:type="dxa" w:w="1728"/>
          </w:tcPr>
          <w:p>
            <w:r>
              <w:rPr>
                <w:rFonts w:ascii="Calibri" w:hAnsi="Calibri"/>
                <w:b/>
                <w:color w:val="E5484D"/>
                <w:sz w:val="22"/>
              </w:rPr>
              <w:t>−0.5%</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$2.00</w:t>
            </w:r>
          </w:p>
        </w:tc>
        <w:tc>
          <w:tcPr>
            <w:tcW w:type="dxa" w:w="1728"/>
          </w:tcPr>
          <w:p>
            <w:r>
              <w:rPr>
                <w:rFonts w:ascii="Calibri" w:hAnsi="Calibri"/>
                <w:sz w:val="22"/>
              </w:rPr>
              <w:t>$1.98</w:t>
            </w:r>
          </w:p>
        </w:tc>
        <w:tc>
          <w:tcPr>
            <w:tcW w:type="dxa" w:w="1728"/>
          </w:tcPr>
          <w:p>
            <w:r>
              <w:rPr>
                <w:rFonts w:ascii="Calibri" w:hAnsi="Calibri"/>
                <w:b/>
                <w:color w:val="30A46C"/>
                <w:sz w:val="22"/>
              </w:rPr>
              <w:t>+1.0%</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$2.03</w:t>
            </w:r>
          </w:p>
        </w:tc>
        <w:tc>
          <w:tcPr>
            <w:tcW w:type="dxa" w:w="1728"/>
          </w:tcPr>
          <w:p>
            <w:r>
              <w:rPr>
                <w:rFonts w:ascii="Calibri" w:hAnsi="Calibri"/>
                <w:sz w:val="22"/>
              </w:rPr>
              <w:t>$2.02</w:t>
            </w:r>
          </w:p>
        </w:tc>
        <w:tc>
          <w:tcPr>
            <w:tcW w:type="dxa" w:w="1728"/>
          </w:tcPr>
          <w:p>
            <w:r>
              <w:rPr>
                <w:rFonts w:ascii="Calibri" w:hAnsi="Calibri"/>
                <w:b/>
                <w:color w:val="30A46C"/>
                <w:sz w:val="22"/>
              </w:rPr>
              <w:t>+0.5%</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$2.07</w:t>
            </w:r>
          </w:p>
        </w:tc>
        <w:tc>
          <w:tcPr>
            <w:tcW w:type="dxa" w:w="1728"/>
          </w:tcPr>
          <w:p>
            <w:r>
              <w:rPr>
                <w:rFonts w:ascii="Calibri" w:hAnsi="Calibri"/>
                <w:sz w:val="22"/>
              </w:rPr>
              <w:t>$2.04</w:t>
            </w:r>
          </w:p>
        </w:tc>
        <w:tc>
          <w:tcPr>
            <w:tcW w:type="dxa" w:w="1728"/>
          </w:tcPr>
          <w:p>
            <w:r>
              <w:rPr>
                <w:rFonts w:ascii="Calibri" w:hAnsi="Calibri"/>
                <w:b/>
                <w:color w:val="30A46C"/>
                <w:sz w:val="22"/>
              </w:rPr>
              <w:t>+1.5%</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EXR has beaten Core FFO consensus in 5 of the last 7 reported quarters (with one in-line and one miss), demonstrating a consistent tendency to outperform a conservative bar — the Q2 2025 miss was the lone exception in recent history. Source: Visible Alpha Consensus and Actuals Data.</w:t>
      </w:r>
    </w:p>
    <w:p>
      <w:pPr>
        <w:pStyle w:val="Heading4"/>
      </w:pPr>
      <w:r>
        <w:rPr>
          <w:rFonts w:ascii="Calibri" w:hAnsi="Calibri"/>
          <w:b/>
          <w:color w:val="3B4259"/>
          <w:sz w:val="22"/>
        </w:rPr>
        <w:t>Same-Store Revenue Growth YoY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+1.66%</w:t>
            </w:r>
          </w:p>
        </w:tc>
        <w:tc>
          <w:tcPr>
            <w:tcW w:type="dxa" w:w="1728"/>
          </w:tcPr>
          <w:p>
            <w:r>
              <w:rPr>
                <w:rFonts w:ascii="Calibri" w:hAnsi="Calibri"/>
                <w:sz w:val="22"/>
              </w:rPr>
              <w:t>+0.32%</w:t>
            </w:r>
          </w:p>
        </w:tc>
        <w:tc>
          <w:tcPr>
            <w:tcW w:type="dxa" w:w="1728"/>
          </w:tcPr>
          <w:p>
            <w:r>
              <w:rPr>
                <w:rFonts w:ascii="Calibri" w:hAnsi="Calibri"/>
                <w:b/>
                <w:color w:val="30A46C"/>
                <w:sz w:val="22"/>
              </w:rPr>
              <w:t>+134 bps</w:t>
            </w:r>
          </w:p>
        </w:tc>
        <w:tc>
          <w:tcPr>
            <w:tcW w:type="dxa" w:w="1728"/>
          </w:tcPr>
          <w:p>
            <w:r>
              <w:rPr>
                <w:rFonts w:ascii="Calibri" w:hAnsi="Calibri"/>
                <w:sz w:val="22"/>
              </w:rPr>
              <w:t>Large Beat</w:t>
            </w:r>
          </w:p>
        </w:tc>
      </w:tr>
      <w:tr>
        <w:tc>
          <w:tcPr>
            <w:tcW w:type="dxa" w:w="1728"/>
          </w:tcPr>
          <w:p>
            <w:r>
              <w:rPr>
                <w:rFonts w:ascii="Calibri" w:hAnsi="Calibri"/>
                <w:sz w:val="22"/>
              </w:rPr>
              <w:t>Q4 2025</w:t>
            </w:r>
          </w:p>
        </w:tc>
        <w:tc>
          <w:tcPr>
            <w:tcW w:type="dxa" w:w="1728"/>
          </w:tcPr>
          <w:p>
            <w:r>
              <w:rPr>
                <w:rFonts w:ascii="Calibri" w:hAnsi="Calibri"/>
                <w:sz w:val="22"/>
              </w:rPr>
              <w:t>+0.40%</w:t>
            </w:r>
          </w:p>
        </w:tc>
        <w:tc>
          <w:tcPr>
            <w:tcW w:type="dxa" w:w="1728"/>
          </w:tcPr>
          <w:p>
            <w:r>
              <w:rPr>
                <w:rFonts w:ascii="Calibri" w:hAnsi="Calibri"/>
                <w:sz w:val="22"/>
              </w:rPr>
              <w:t>+0.10%</w:t>
            </w:r>
          </w:p>
        </w:tc>
        <w:tc>
          <w:tcPr>
            <w:tcW w:type="dxa" w:w="1728"/>
          </w:tcPr>
          <w:p>
            <w:r>
              <w:rPr>
                <w:rFonts w:ascii="Calibri" w:hAnsi="Calibri"/>
                <w:b/>
                <w:color w:val="30A46C"/>
                <w:sz w:val="22"/>
              </w:rPr>
              <w:t>+30 bps</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−0.20%</w:t>
            </w:r>
          </w:p>
        </w:tc>
        <w:tc>
          <w:tcPr>
            <w:tcW w:type="dxa" w:w="1728"/>
          </w:tcPr>
          <w:p>
            <w:r>
              <w:rPr>
                <w:rFonts w:ascii="Calibri" w:hAnsi="Calibri"/>
                <w:sz w:val="22"/>
              </w:rPr>
              <w:t>+0.30%</w:t>
            </w:r>
          </w:p>
        </w:tc>
        <w:tc>
          <w:tcPr>
            <w:tcW w:type="dxa" w:w="1728"/>
          </w:tcPr>
          <w:p>
            <w:r>
              <w:rPr>
                <w:rFonts w:ascii="Calibri" w:hAnsi="Calibri"/>
                <w:b/>
                <w:color w:val="E5484D"/>
                <w:sz w:val="22"/>
              </w:rPr>
              <w:t>−50 bps</w:t>
            </w:r>
          </w:p>
        </w:tc>
        <w:tc>
          <w:tcPr>
            <w:tcW w:type="dxa" w:w="1728"/>
          </w:tcPr>
          <w:p>
            <w:r>
              <w:rPr>
                <w:rFonts w:ascii="Calibri" w:hAnsi="Calibri"/>
                <w:sz w:val="22"/>
              </w:rPr>
              <w:t>Miss</w:t>
            </w:r>
          </w:p>
        </w:tc>
      </w:tr>
      <w:tr>
        <w:tc>
          <w:tcPr>
            <w:tcW w:type="dxa" w:w="1728"/>
          </w:tcPr>
          <w:p>
            <w:r>
              <w:rPr>
                <w:rFonts w:ascii="Calibri" w:hAnsi="Calibri"/>
                <w:sz w:val="22"/>
              </w:rPr>
              <w:t>Q2 2025</w:t>
            </w:r>
          </w:p>
        </w:tc>
        <w:tc>
          <w:tcPr>
            <w:tcW w:type="dxa" w:w="1728"/>
          </w:tcPr>
          <w:p>
            <w:r>
              <w:rPr>
                <w:rFonts w:ascii="Calibri" w:hAnsi="Calibri"/>
                <w:sz w:val="22"/>
              </w:rPr>
              <w:t>+0.50%</w:t>
            </w:r>
          </w:p>
        </w:tc>
        <w:tc>
          <w:tcPr>
            <w:tcW w:type="dxa" w:w="1728"/>
          </w:tcPr>
          <w:p>
            <w:r>
              <w:rPr>
                <w:rFonts w:ascii="Calibri" w:hAnsi="Calibri"/>
                <w:sz w:val="22"/>
              </w:rPr>
              <w:t>+0.27%</w:t>
            </w:r>
          </w:p>
        </w:tc>
        <w:tc>
          <w:tcPr>
            <w:tcW w:type="dxa" w:w="1728"/>
          </w:tcPr>
          <w:p>
            <w:r>
              <w:rPr>
                <w:rFonts w:ascii="Calibri" w:hAnsi="Calibri"/>
                <w:b/>
                <w:color w:val="30A46C"/>
                <w:sz w:val="22"/>
              </w:rPr>
              <w:t>+23 bps</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+0.30%</w:t>
            </w:r>
          </w:p>
        </w:tc>
        <w:tc>
          <w:tcPr>
            <w:tcW w:type="dxa" w:w="1728"/>
          </w:tcPr>
          <w:p>
            <w:r>
              <w:rPr>
                <w:rFonts w:ascii="Calibri" w:hAnsi="Calibri"/>
                <w:sz w:val="22"/>
              </w:rPr>
              <w:t>−0.07%</w:t>
            </w:r>
          </w:p>
        </w:tc>
        <w:tc>
          <w:tcPr>
            <w:tcW w:type="dxa" w:w="1728"/>
          </w:tcPr>
          <w:p>
            <w:r>
              <w:rPr>
                <w:rFonts w:ascii="Calibri" w:hAnsi="Calibri"/>
                <w:b/>
                <w:color w:val="30A46C"/>
                <w:sz w:val="22"/>
              </w:rPr>
              <w:t>+37 bps</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−0.40%</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−0.30%</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Same-store revenue growth has beaten consensus in 4 of the last 5 quarters where data is available, with the Q1 2026 beat of +134 bps being the largest in recent history — a strong signal that the pricing system’s occupancy-first tilt in March/April may have set up another positive surprise.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the Q1 2026 print — management held all metrics flat despite a Q1 beat, explicitly citing macro uncertainty; the only post-earnings change was a minor SOFR and management fee income update. Tone is cautiously optimistic but deliberately non-committal until leasing season results are in hand.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28–29)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Core FFO per Share (FY 2026)</w:t>
            </w:r>
          </w:p>
        </w:tc>
        <w:tc>
          <w:tcPr>
            <w:tcW w:type="dxa" w:w="1728"/>
          </w:tcPr>
          <w:p>
            <w:r>
              <w:rPr>
                <w:rFonts w:ascii="Calibri" w:hAnsi="Calibri"/>
                <w:sz w:val="22"/>
              </w:rPr>
              <w:t>$8.05–$8.35</w:t>
            </w:r>
          </w:p>
        </w:tc>
        <w:tc>
          <w:tcPr>
            <w:tcW w:type="dxa" w:w="1728"/>
          </w:tcPr>
          <w:p>
            <w:r>
              <w:rPr>
                <w:rFonts w:ascii="Calibri" w:hAnsi="Calibri"/>
                <w:sz w:val="22"/>
              </w:rPr>
              <w:t>— Unchanged</w:t>
            </w:r>
          </w:p>
        </w:tc>
        <w:tc>
          <w:tcPr>
            <w:tcW w:type="dxa" w:w="1728"/>
          </w:tcPr>
          <w:p>
            <w:r>
              <w:rPr>
                <w:rFonts w:ascii="Calibri" w:hAnsi="Calibri"/>
                <w:sz w:val="22"/>
              </w:rPr>
              <w:t>$8.30</w:t>
            </w:r>
          </w:p>
        </w:tc>
        <w:tc>
          <w:tcPr>
            <w:tcW w:type="dxa" w:w="1728"/>
          </w:tcPr>
          <w:p>
            <w:r>
              <w:rPr>
                <w:rFonts w:ascii="Calibri" w:hAnsi="Calibri"/>
                <w:sz w:val="22"/>
              </w:rPr>
              <w:t>Held flat despite Q1 beat; management cited macro uncertainty and incomplete leasing season</w:t>
            </w:r>
          </w:p>
        </w:tc>
      </w:tr>
      <w:tr>
        <w:tc>
          <w:tcPr>
            <w:tcW w:type="dxa" w:w="1728"/>
          </w:tcPr>
          <w:p>
            <w:r>
              <w:rPr>
                <w:rFonts w:ascii="Calibri" w:hAnsi="Calibri"/>
                <w:sz w:val="22"/>
              </w:rPr>
              <w:t>Same-Store Revenue Growth (FY 2026)</w:t>
            </w:r>
          </w:p>
        </w:tc>
        <w:tc>
          <w:tcPr>
            <w:tcW w:type="dxa" w:w="1728"/>
          </w:tcPr>
          <w:p>
            <w:r>
              <w:rPr>
                <w:rFonts w:ascii="Calibri" w:hAnsi="Calibri"/>
                <w:sz w:val="22"/>
              </w:rPr>
              <w:t>(0.50)%–1.50%</w:t>
            </w:r>
          </w:p>
        </w:tc>
        <w:tc>
          <w:tcPr>
            <w:tcW w:type="dxa" w:w="1728"/>
          </w:tcPr>
          <w:p>
            <w:r>
              <w:rPr>
                <w:rFonts w:ascii="Calibri" w:hAnsi="Calibri"/>
                <w:sz w:val="22"/>
              </w:rPr>
              <w:t>— Unchanged</w:t>
            </w:r>
          </w:p>
        </w:tc>
        <w:tc>
          <w:tcPr>
            <w:tcW w:type="dxa" w:w="1728"/>
          </w:tcPr>
          <w:p>
            <w:r>
              <w:rPr>
                <w:rFonts w:ascii="Calibri" w:hAnsi="Calibri"/>
                <w:sz w:val="22"/>
              </w:rPr>
              <w:t>+1.33%</w:t>
            </w:r>
          </w:p>
        </w:tc>
        <w:tc>
          <w:tcPr>
            <w:tcW w:type="dxa" w:w="1728"/>
          </w:tcPr>
          <w:p>
            <w:r>
              <w:rPr>
                <w:rFonts w:ascii="Calibri" w:hAnsi="Calibri"/>
                <w:sz w:val="22"/>
              </w:rPr>
              <w:t>Consensus sits near top of range; management committed to revisiting after Q2</w:t>
            </w:r>
          </w:p>
        </w:tc>
      </w:tr>
      <w:tr>
        <w:tc>
          <w:tcPr>
            <w:tcW w:type="dxa" w:w="1728"/>
          </w:tcPr>
          <w:p>
            <w:r>
              <w:rPr>
                <w:rFonts w:ascii="Calibri" w:hAnsi="Calibri"/>
                <w:sz w:val="22"/>
              </w:rPr>
              <w:t>Same-Store Expense Growth (FY 2026)</w:t>
            </w:r>
          </w:p>
        </w:tc>
        <w:tc>
          <w:tcPr>
            <w:tcW w:type="dxa" w:w="1728"/>
          </w:tcPr>
          <w:p>
            <w:r>
              <w:rPr>
                <w:rFonts w:ascii="Calibri" w:hAnsi="Calibri"/>
                <w:sz w:val="22"/>
              </w:rPr>
              <w:t>2.00%–3.50%</w:t>
            </w:r>
          </w:p>
        </w:tc>
        <w:tc>
          <w:tcPr>
            <w:tcW w:type="dxa" w:w="1728"/>
          </w:tcPr>
          <w:p>
            <w:r>
              <w:rPr>
                <w:rFonts w:ascii="Calibri" w:hAnsi="Calibri"/>
                <w:sz w:val="22"/>
              </w:rPr>
              <w:t>— Unchanged</w:t>
            </w:r>
          </w:p>
        </w:tc>
        <w:tc>
          <w:tcPr>
            <w:tcW w:type="dxa" w:w="1728"/>
          </w:tcPr>
          <w:p>
            <w:r>
              <w:rPr>
                <w:rFonts w:ascii="Calibri" w:hAnsi="Calibri"/>
                <w:sz w:val="22"/>
              </w:rPr>
              <w:t>N/A — not tracked in VA</w:t>
            </w:r>
          </w:p>
        </w:tc>
        <w:tc>
          <w:tcPr>
            <w:tcW w:type="dxa" w:w="1728"/>
          </w:tcPr>
          <w:p>
            <w:r>
              <w:rPr>
                <w:rFonts w:ascii="Calibri" w:hAnsi="Calibri"/>
                <w:sz w:val="22"/>
              </w:rPr>
              <w:t>Insurance renewal expected flat or better (favorable environment for insureds per Q1 call)</w:t>
            </w:r>
          </w:p>
        </w:tc>
      </w:tr>
      <w:tr>
        <w:tc>
          <w:tcPr>
            <w:tcW w:type="dxa" w:w="1728"/>
          </w:tcPr>
          <w:p>
            <w:r>
              <w:rPr>
                <w:rFonts w:ascii="Calibri" w:hAnsi="Calibri"/>
                <w:sz w:val="22"/>
              </w:rPr>
              <w:t>Same-Store NOI Growth (FY 2026)</w:t>
            </w:r>
          </w:p>
        </w:tc>
        <w:tc>
          <w:tcPr>
            <w:tcW w:type="dxa" w:w="1728"/>
          </w:tcPr>
          <w:p>
            <w:r>
              <w:rPr>
                <w:rFonts w:ascii="Calibri" w:hAnsi="Calibri"/>
                <w:sz w:val="22"/>
              </w:rPr>
              <w:t>(2.25)%–1.25%</w:t>
            </w:r>
          </w:p>
        </w:tc>
        <w:tc>
          <w:tcPr>
            <w:tcW w:type="dxa" w:w="1728"/>
          </w:tcPr>
          <w:p>
            <w:r>
              <w:rPr>
                <w:rFonts w:ascii="Calibri" w:hAnsi="Calibri"/>
                <w:sz w:val="22"/>
              </w:rPr>
              <w:t>— Unchanged</w:t>
            </w:r>
          </w:p>
        </w:tc>
        <w:tc>
          <w:tcPr>
            <w:tcW w:type="dxa" w:w="1728"/>
          </w:tcPr>
          <w:p>
            <w:r>
              <w:rPr>
                <w:rFonts w:ascii="Calibri" w:hAnsi="Calibri"/>
                <w:sz w:val="22"/>
              </w:rPr>
              <w:t>+0.73%</w:t>
            </w:r>
          </w:p>
        </w:tc>
        <w:tc>
          <w:tcPr>
            <w:tcW w:type="dxa" w:w="1728"/>
          </w:tcPr>
          <w:p>
            <w:r>
              <w:rPr>
                <w:rFonts w:ascii="Calibri" w:hAnsi="Calibri"/>
                <w:sz w:val="22"/>
              </w:rPr>
              <w:t>Consensus above midpoint; expense normalization (property tax, insurance) is key driver</w:t>
            </w:r>
          </w:p>
        </w:tc>
      </w:tr>
      <w:tr>
        <w:tc>
          <w:tcPr>
            <w:tcW w:type="dxa" w:w="1728"/>
          </w:tcPr>
          <w:p>
            <w:r>
              <w:rPr>
                <w:rFonts w:ascii="Calibri" w:hAnsi="Calibri"/>
                <w:sz w:val="22"/>
              </w:rPr>
              <w:t>Wtd. Avg. SOFR (FY 2026)</w:t>
            </w:r>
          </w:p>
        </w:tc>
        <w:tc>
          <w:tcPr>
            <w:tcW w:type="dxa" w:w="1728"/>
          </w:tcPr>
          <w:p>
            <w:r>
              <w:rPr>
                <w:rFonts w:ascii="Calibri" w:hAnsi="Calibri"/>
                <w:sz w:val="22"/>
              </w:rPr>
              <w:t>3.65%</w:t>
            </w:r>
          </w:p>
        </w:tc>
        <w:tc>
          <w:tcPr>
            <w:tcW w:type="dxa" w:w="1728"/>
          </w:tcPr>
          <w:p>
            <w:r>
              <w:rPr>
                <w:rFonts w:ascii="Calibri" w:hAnsi="Calibri"/>
                <w:sz w:val="22"/>
              </w:rPr>
              <w:t>— Unchanged (raised from 3.46% at Q4 2025 earnings)</w:t>
            </w:r>
          </w:p>
        </w:tc>
        <w:tc>
          <w:tcPr>
            <w:tcW w:type="dxa" w:w="1728"/>
          </w:tcPr>
          <w:p>
            <w:r>
              <w:rPr>
                <w:rFonts w:ascii="Calibri" w:hAnsi="Calibri"/>
                <w:sz w:val="22"/>
              </w:rPr>
              <w:t>N/A</w:t>
            </w:r>
          </w:p>
        </w:tc>
        <w:tc>
          <w:tcPr>
            <w:tcW w:type="dxa" w:w="1728"/>
          </w:tcPr>
          <w:p>
            <w:r>
              <w:rPr>
                <w:rFonts w:ascii="Calibri" w:hAnsi="Calibri"/>
                <w:sz w:val="22"/>
              </w:rPr>
              <w:t>↑ Raised at Q1 2026 earnings from 3.46% to 3.65%; reflects higher-for-longer rate environment</w:t>
            </w:r>
          </w:p>
        </w:tc>
      </w:tr>
      <w:tr>
        <w:tc>
          <w:tcPr>
            <w:tcW w:type="dxa" w:w="1728"/>
          </w:tcPr>
          <w:p>
            <w:r>
              <w:rPr>
                <w:rFonts w:ascii="Calibri" w:hAnsi="Calibri"/>
                <w:sz w:val="22"/>
              </w:rPr>
              <w:t>Management Fees &amp; Other Income (FY 2026)</w:t>
            </w:r>
          </w:p>
        </w:tc>
        <w:tc>
          <w:tcPr>
            <w:tcW w:type="dxa" w:w="1728"/>
          </w:tcPr>
          <w:p>
            <w:r>
              <w:rPr>
                <w:rFonts w:ascii="Calibri" w:hAnsi="Calibri"/>
                <w:sz w:val="22"/>
              </w:rPr>
              <w:t>$140.0M–$141.5M</w:t>
            </w:r>
          </w:p>
        </w:tc>
        <w:tc>
          <w:tcPr>
            <w:tcW w:type="dxa" w:w="1728"/>
          </w:tcPr>
          <w:p>
            <w:r>
              <w:rPr>
                <w:rFonts w:ascii="Calibri" w:hAnsi="Calibri"/>
                <w:sz w:val="22"/>
              </w:rPr>
              <w:t>— Unchanged (raised from $138.0M–$139.5M at Q4 2025)</w:t>
            </w:r>
          </w:p>
        </w:tc>
        <w:tc>
          <w:tcPr>
            <w:tcW w:type="dxa" w:w="1728"/>
          </w:tcPr>
          <w:p>
            <w:r>
              <w:rPr>
                <w:rFonts w:ascii="Calibri" w:hAnsi="Calibri"/>
                <w:sz w:val="22"/>
              </w:rPr>
              <w:t>N/A</w:t>
            </w:r>
          </w:p>
        </w:tc>
        <w:tc>
          <w:tcPr>
            <w:tcW w:type="dxa" w:w="1728"/>
          </w:tcPr>
          <w:p>
            <w:r>
              <w:rPr>
                <w:rFonts w:ascii="Calibri" w:hAnsi="Calibri"/>
                <w:sz w:val="22"/>
              </w:rPr>
              <w:t>↑ Raised at Q1 2026 earnings; reflects expanding third-party management platform (1,916 stores)</w:t>
            </w:r>
          </w:p>
        </w:tc>
      </w:tr>
      <w:tr>
        <w:tc>
          <w:tcPr>
            <w:tcW w:type="dxa" w:w="1728"/>
          </w:tcPr>
          <w:p>
            <w:r>
              <w:rPr>
                <w:rFonts w:ascii="Calibri" w:hAnsi="Calibri"/>
                <w:sz w:val="22"/>
              </w:rPr>
              <w:t>Acquisitions (FY 2026)</w:t>
            </w:r>
          </w:p>
        </w:tc>
        <w:tc>
          <w:tcPr>
            <w:tcW w:type="dxa" w:w="1728"/>
          </w:tcPr>
          <w:p>
            <w:r>
              <w:rPr>
                <w:rFonts w:ascii="Calibri" w:hAnsi="Calibri"/>
                <w:sz w:val="22"/>
              </w:rPr>
              <w:t>$200M</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Disciplined stance; sub-5% initial cap rates on recent deals deemed insufficient; JV structures preferred</w:t>
            </w:r>
          </w:p>
        </w:tc>
      </w:tr>
      <w:tr>
        <w:tc>
          <w:tcPr>
            <w:tcW w:type="dxa" w:w="1728"/>
          </w:tcPr>
          <w:p>
            <w:r>
              <w:rPr>
                <w:rFonts w:ascii="Calibri" w:hAnsi="Calibri"/>
                <w:sz w:val="22"/>
              </w:rPr>
              <w:t>Bridge Loans Outstanding (FY 2026 avg.)</w:t>
            </w:r>
          </w:p>
        </w:tc>
        <w:tc>
          <w:tcPr>
            <w:tcW w:type="dxa" w:w="1728"/>
          </w:tcPr>
          <w:p>
            <w:r>
              <w:rPr>
                <w:rFonts w:ascii="Calibri" w:hAnsi="Calibri"/>
                <w:sz w:val="22"/>
              </w:rPr>
              <w:t>$1,475M</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Q1 originations very light ($5.5M vs. $50M+ in Q1 2025); $102M in loans closed or under agreement post-Q1</w:t>
            </w:r>
          </w:p>
        </w:tc>
      </w:tr>
    </w:tbl>
    <w:p>
      <w:r>
        <w:rPr>
          <w:rFonts w:ascii="Calibri" w:hAnsi="Calibri"/>
          <w:i/>
          <w:color w:val="525866"/>
          <w:sz w:val="22"/>
        </w:rPr>
        <w:t>Source: EXR Q1 2026 Earnings Release (April 28, 2026) and Q1 2026 Earnings Call Transcript (April 29,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both Q2 2026 and full-year 2026 have drifted modestly higher since the Q1 print, with Core FFO consensus up ~$0.01–0.02 and same-store revenue growth consensus up ~20 bps — revisions are tracking with the improving fundamental backdrop but are not running ahead of guidance, leaving room for a positive surprise if management finally raises the full-year range.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Print (May 1,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Core FFO/Share (Q2 2026)</w:t>
            </w:r>
          </w:p>
        </w:tc>
        <w:tc>
          <w:tcPr>
            <w:tcW w:type="dxa" w:w="1080"/>
          </w:tcPr>
          <w:p>
            <w:r>
              <w:rPr>
                <w:rFonts w:ascii="Calibri" w:hAnsi="Calibri"/>
                <w:sz w:val="22"/>
              </w:rPr>
              <w:t>$2.071</w:t>
            </w:r>
          </w:p>
        </w:tc>
        <w:tc>
          <w:tcPr>
            <w:tcW w:type="dxa" w:w="1080"/>
          </w:tcPr>
          <w:p>
            <w:r>
              <w:rPr>
                <w:rFonts w:ascii="Calibri" w:hAnsi="Calibri"/>
                <w:sz w:val="22"/>
              </w:rPr>
              <w:t>$2.079</w:t>
            </w:r>
          </w:p>
        </w:tc>
        <w:tc>
          <w:tcPr>
            <w:tcW w:type="dxa" w:w="1080"/>
          </w:tcPr>
          <w:p>
            <w:r>
              <w:rPr>
                <w:rFonts w:ascii="Calibri" w:hAnsi="Calibri"/>
                <w:sz w:val="22"/>
              </w:rPr>
              <w:t>+0.4%</w:t>
            </w:r>
          </w:p>
        </w:tc>
        <w:tc>
          <w:tcPr>
            <w:tcW w:type="dxa" w:w="1080"/>
          </w:tcPr>
          <w:p>
            <w:r>
              <w:rPr>
                <w:rFonts w:ascii="Calibri" w:hAnsi="Calibri"/>
                <w:sz w:val="22"/>
              </w:rPr>
              <w:t>N/A —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Core FFO/Share (FY 2026)</w:t>
            </w:r>
          </w:p>
        </w:tc>
        <w:tc>
          <w:tcPr>
            <w:tcW w:type="dxa" w:w="1080"/>
          </w:tcPr>
          <w:p>
            <w:r>
              <w:rPr>
                <w:rFonts w:ascii="Calibri" w:hAnsi="Calibri"/>
                <w:sz w:val="22"/>
              </w:rPr>
              <w:t>$8.275</w:t>
            </w:r>
          </w:p>
        </w:tc>
        <w:tc>
          <w:tcPr>
            <w:tcW w:type="dxa" w:w="1080"/>
          </w:tcPr>
          <w:p>
            <w:r>
              <w:rPr>
                <w:rFonts w:ascii="Calibri" w:hAnsi="Calibri"/>
                <w:sz w:val="22"/>
              </w:rPr>
              <w:t>$8.296</w:t>
            </w:r>
          </w:p>
        </w:tc>
        <w:tc>
          <w:tcPr>
            <w:tcW w:type="dxa" w:w="1080"/>
          </w:tcPr>
          <w:p>
            <w:r>
              <w:rPr>
                <w:rFonts w:ascii="Calibri" w:hAnsi="Calibri"/>
                <w:sz w:val="22"/>
              </w:rPr>
              <w:t>+0.3%</w:t>
            </w:r>
          </w:p>
        </w:tc>
        <w:tc>
          <w:tcPr>
            <w:tcW w:type="dxa" w:w="1080"/>
          </w:tcPr>
          <w:p>
            <w:r>
              <w:rPr>
                <w:rFonts w:ascii="Calibri" w:hAnsi="Calibri"/>
                <w:sz w:val="22"/>
              </w:rPr>
              <w:t>$8.05–$8.35 ($8.20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 above midpoint</w:t>
            </w:r>
          </w:p>
        </w:tc>
      </w:tr>
      <w:tr>
        <w:tc>
          <w:tcPr>
            <w:tcW w:type="dxa" w:w="1080"/>
          </w:tcPr>
          <w:p>
            <w:r>
              <w:rPr>
                <w:rFonts w:ascii="Calibri" w:hAnsi="Calibri"/>
                <w:sz w:val="22"/>
              </w:rPr>
              <w:t>SS Rev. Growth (Q2 2026)</w:t>
            </w:r>
          </w:p>
        </w:tc>
        <w:tc>
          <w:tcPr>
            <w:tcW w:type="dxa" w:w="1080"/>
          </w:tcPr>
          <w:p>
            <w:r>
              <w:rPr>
                <w:rFonts w:ascii="Calibri" w:hAnsi="Calibri"/>
                <w:sz w:val="22"/>
              </w:rPr>
              <w:t>+1.00%</w:t>
            </w:r>
          </w:p>
        </w:tc>
        <w:tc>
          <w:tcPr>
            <w:tcW w:type="dxa" w:w="1080"/>
          </w:tcPr>
          <w:p>
            <w:r>
              <w:rPr>
                <w:rFonts w:ascii="Calibri" w:hAnsi="Calibri"/>
                <w:sz w:val="22"/>
              </w:rPr>
              <w:t>+1.20%</w:t>
            </w:r>
          </w:p>
        </w:tc>
        <w:tc>
          <w:tcPr>
            <w:tcW w:type="dxa" w:w="1080"/>
          </w:tcPr>
          <w:p>
            <w:r>
              <w:rPr>
                <w:rFonts w:ascii="Calibri" w:hAnsi="Calibri"/>
                <w:sz w:val="22"/>
              </w:rPr>
              <w:t>+20 bps</w:t>
            </w:r>
          </w:p>
        </w:tc>
        <w:tc>
          <w:tcPr>
            <w:tcW w:type="dxa" w:w="1080"/>
          </w:tcPr>
          <w:p>
            <w:r>
              <w:rPr>
                <w:rFonts w:ascii="Calibri" w:hAnsi="Calibri"/>
                <w:sz w:val="22"/>
              </w:rPr>
              <w:t>N/A —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SS Rev. Growth (FY 2026)</w:t>
            </w:r>
          </w:p>
        </w:tc>
        <w:tc>
          <w:tcPr>
            <w:tcW w:type="dxa" w:w="1080"/>
          </w:tcPr>
          <w:p>
            <w:r>
              <w:rPr>
                <w:rFonts w:ascii="Calibri" w:hAnsi="Calibri"/>
                <w:sz w:val="22"/>
              </w:rPr>
              <w:t>+1.25%</w:t>
            </w:r>
          </w:p>
        </w:tc>
        <w:tc>
          <w:tcPr>
            <w:tcW w:type="dxa" w:w="1080"/>
          </w:tcPr>
          <w:p>
            <w:r>
              <w:rPr>
                <w:rFonts w:ascii="Calibri" w:hAnsi="Calibri"/>
                <w:sz w:val="22"/>
              </w:rPr>
              <w:t>+1.33%</w:t>
            </w:r>
          </w:p>
        </w:tc>
        <w:tc>
          <w:tcPr>
            <w:tcW w:type="dxa" w:w="1080"/>
          </w:tcPr>
          <w:p>
            <w:r>
              <w:rPr>
                <w:rFonts w:ascii="Calibri" w:hAnsi="Calibri"/>
                <w:sz w:val="22"/>
              </w:rPr>
              <w:t>+8 bps</w:t>
            </w:r>
          </w:p>
        </w:tc>
        <w:tc>
          <w:tcPr>
            <w:tcW w:type="dxa" w:w="1080"/>
          </w:tcPr>
          <w:p>
            <w:r>
              <w:rPr>
                <w:rFonts w:ascii="Calibri" w:hAnsi="Calibri"/>
                <w:sz w:val="22"/>
              </w:rPr>
              <w:t>(0.50)%–1.50% (0.50%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+83 bps above midpoint; near top of range</w:t>
            </w:r>
          </w:p>
        </w:tc>
      </w:tr>
    </w:tbl>
    <w:p>
      <w:r>
        <w:rPr>
          <w:rFonts w:ascii="Calibri" w:hAnsi="Calibri"/>
          <w:i/>
          <w:color w:val="525866"/>
          <w:sz w:val="22"/>
        </w:rPr>
        <w:t>Source: Visible Alpha Consensus and Actuals Data (revision history table, weekly frequency, May 1–July 28, 2026). Guidance from EXR Q1 2026 Earnings Release (April 28, 2026).</w:t>
      </w:r>
    </w:p>
    <w:p>
      <w:r>
        <w:rPr>
          <w:rFonts w:ascii="Calibri" w:hAnsi="Calibri"/>
          <w:color w:val="525866"/>
          <w:sz w:val="22"/>
        </w:rPr>
        <w:t>Estimates have moved constructively but modestly since the Q1 print. The ~$0.02 upward drift in Q2 Core FFO consensus and the ~20 bps improvement in Q2 same-store revenue growth consensus reflect the market gradually pricing in the improving fundamental backdrop without getting ahead of management’s deliberately conservative guidance. The full-year same-store revenue consensus of +1.33% sitting near the top of the (0.50)%–1.50% guidance range means any guidance raise would require a meaningful upward revision to the range itself — which would be a positive catalyst if delivered tonight.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EXR has modestly outperformed the REIT ETF (IYR) since the Q1 print but lagged the S&amp;P 500; performance has been driven primarily by fundamental improvement rather than multiple expansion, with the NTM EV/EBITDA multiple essentially flat over the past 3–6 months — suggesting the stock is not pricing in a guidance raise.</w:t>
      </w:r>
    </w:p>
    <w:p>
      <w:r>
        <w:rPr>
          <w:rFonts w:ascii="Calibri" w:hAnsi="Calibri"/>
          <w:i/>
          <w:color w:val="525866"/>
          <w:sz w:val="22"/>
        </w:rPr>
        <w:t>Chart: EXR vs. IYR (iShares U.S. Real Estate ETF) vs. SPY (S&amp;P 500 ETF) — Indexed to 100 at April 28, 2026 (Q1 2026 earnings date). IYR was selected as the sector ETF as it is the broadest U.S. REIT benchmark and includes self-storage as a sub-sector.</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EXR (Indexed)</w:t>
            </w:r>
          </w:p>
        </w:tc>
        <w:tc>
          <w:tcPr>
            <w:tcW w:type="dxa" w:w="2160"/>
            <w:shd w:val="clear" w:color="auto" w:fill="3B4259"/>
          </w:tcPr>
          <w:p>
            <w:r>
              <w:rPr>
                <w:rFonts w:ascii="Calibri" w:hAnsi="Calibri"/>
                <w:b/>
                <w:color w:val="FFFFFF"/>
                <w:sz w:val="22"/>
              </w:rPr>
              <w:t>IYR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28,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15, 2026</w:t>
            </w:r>
          </w:p>
        </w:tc>
        <w:tc>
          <w:tcPr>
            <w:tcW w:type="dxa" w:w="2160"/>
          </w:tcPr>
          <w:p>
            <w:r>
              <w:rPr>
                <w:rFonts w:ascii="Calibri" w:hAnsi="Calibri"/>
                <w:sz w:val="22"/>
              </w:rPr>
              <w:t>97.1</w:t>
            </w:r>
          </w:p>
        </w:tc>
        <w:tc>
          <w:tcPr>
            <w:tcW w:type="dxa" w:w="2160"/>
          </w:tcPr>
          <w:p>
            <w:r>
              <w:rPr>
                <w:rFonts w:ascii="Calibri" w:hAnsi="Calibri"/>
                <w:sz w:val="22"/>
              </w:rPr>
              <w:t>98.1</w:t>
            </w:r>
          </w:p>
        </w:tc>
        <w:tc>
          <w:tcPr>
            <w:tcW w:type="dxa" w:w="2160"/>
          </w:tcPr>
          <w:p>
            <w:r>
              <w:rPr>
                <w:rFonts w:ascii="Calibri" w:hAnsi="Calibri"/>
                <w:sz w:val="22"/>
              </w:rPr>
              <w:t>103.9</w:t>
            </w:r>
          </w:p>
        </w:tc>
      </w:tr>
      <w:tr>
        <w:tc>
          <w:tcPr>
            <w:tcW w:type="dxa" w:w="2160"/>
          </w:tcPr>
          <w:p>
            <w:r>
              <w:rPr>
                <w:rFonts w:ascii="Calibri" w:hAnsi="Calibri"/>
                <w:sz w:val="22"/>
              </w:rPr>
              <w:t>Jun 12, 2026</w:t>
            </w:r>
          </w:p>
        </w:tc>
        <w:tc>
          <w:tcPr>
            <w:tcW w:type="dxa" w:w="2160"/>
          </w:tcPr>
          <w:p>
            <w:r>
              <w:rPr>
                <w:rFonts w:ascii="Calibri" w:hAnsi="Calibri"/>
                <w:sz w:val="22"/>
              </w:rPr>
              <w:t>106.8</w:t>
            </w:r>
          </w:p>
        </w:tc>
        <w:tc>
          <w:tcPr>
            <w:tcW w:type="dxa" w:w="2160"/>
          </w:tcPr>
          <w:p>
            <w:r>
              <w:rPr>
                <w:rFonts w:ascii="Calibri" w:hAnsi="Calibri"/>
                <w:sz w:val="22"/>
              </w:rPr>
              <w:t>102.6</w:t>
            </w:r>
          </w:p>
        </w:tc>
        <w:tc>
          <w:tcPr>
            <w:tcW w:type="dxa" w:w="2160"/>
          </w:tcPr>
          <w:p>
            <w:r>
              <w:rPr>
                <w:rFonts w:ascii="Calibri" w:hAnsi="Calibri"/>
                <w:sz w:val="22"/>
              </w:rPr>
              <w:t>104.2</w:t>
            </w:r>
          </w:p>
        </w:tc>
      </w:tr>
      <w:tr>
        <w:tc>
          <w:tcPr>
            <w:tcW w:type="dxa" w:w="2160"/>
          </w:tcPr>
          <w:p>
            <w:r>
              <w:rPr>
                <w:rFonts w:ascii="Calibri" w:hAnsi="Calibri"/>
                <w:sz w:val="22"/>
              </w:rPr>
              <w:t>Jun 25, 2026 (Debt Offering)</w:t>
            </w:r>
          </w:p>
        </w:tc>
        <w:tc>
          <w:tcPr>
            <w:tcW w:type="dxa" w:w="2160"/>
          </w:tcPr>
          <w:p>
            <w:r>
              <w:rPr>
                <w:rFonts w:ascii="Calibri" w:hAnsi="Calibri"/>
                <w:sz w:val="22"/>
              </w:rPr>
              <w:t>104.4</w:t>
            </w:r>
          </w:p>
        </w:tc>
        <w:tc>
          <w:tcPr>
            <w:tcW w:type="dxa" w:w="2160"/>
          </w:tcPr>
          <w:p>
            <w:r>
              <w:rPr>
                <w:rFonts w:ascii="Calibri" w:hAnsi="Calibri"/>
                <w:sz w:val="22"/>
              </w:rPr>
              <w:t>101.3</w:t>
            </w:r>
          </w:p>
        </w:tc>
        <w:tc>
          <w:tcPr>
            <w:tcW w:type="dxa" w:w="2160"/>
          </w:tcPr>
          <w:p>
            <w:r>
              <w:rPr>
                <w:rFonts w:ascii="Calibri" w:hAnsi="Calibri"/>
                <w:sz w:val="22"/>
              </w:rPr>
              <w:t>103.2</w:t>
            </w:r>
          </w:p>
        </w:tc>
      </w:tr>
      <w:tr>
        <w:tc>
          <w:tcPr>
            <w:tcW w:type="dxa" w:w="2160"/>
          </w:tcPr>
          <w:p>
            <w:r>
              <w:rPr>
                <w:rFonts w:ascii="Calibri" w:hAnsi="Calibri"/>
                <w:sz w:val="22"/>
              </w:rPr>
              <w:t>Jul 16, 2026</w:t>
            </w:r>
          </w:p>
        </w:tc>
        <w:tc>
          <w:tcPr>
            <w:tcW w:type="dxa" w:w="2160"/>
          </w:tcPr>
          <w:p>
            <w:r>
              <w:rPr>
                <w:rFonts w:ascii="Calibri" w:hAnsi="Calibri"/>
                <w:sz w:val="22"/>
              </w:rPr>
              <w:t>106.6</w:t>
            </w:r>
          </w:p>
        </w:tc>
        <w:tc>
          <w:tcPr>
            <w:tcW w:type="dxa" w:w="2160"/>
          </w:tcPr>
          <w:p>
            <w:r>
              <w:rPr>
                <w:rFonts w:ascii="Calibri" w:hAnsi="Calibri"/>
                <w:sz w:val="22"/>
              </w:rPr>
              <w:t>104.4</w:t>
            </w:r>
          </w:p>
        </w:tc>
        <w:tc>
          <w:tcPr>
            <w:tcW w:type="dxa" w:w="2160"/>
          </w:tcPr>
          <w:p>
            <w:r>
              <w:rPr>
                <w:rFonts w:ascii="Calibri" w:hAnsi="Calibri"/>
                <w:sz w:val="22"/>
              </w:rPr>
              <w:t>105.5</w:t>
            </w:r>
          </w:p>
        </w:tc>
      </w:tr>
      <w:tr>
        <w:tc>
          <w:tcPr>
            <w:tcW w:type="dxa" w:w="2160"/>
          </w:tcPr>
          <w:p>
            <w:r>
              <w:rPr>
                <w:rFonts w:ascii="Calibri" w:hAnsi="Calibri"/>
                <w:sz w:val="22"/>
              </w:rPr>
              <w:t>Jul 28, 2026 (Today)</w:t>
            </w:r>
          </w:p>
        </w:tc>
        <w:tc>
          <w:tcPr>
            <w:tcW w:type="dxa" w:w="2160"/>
          </w:tcPr>
          <w:p>
            <w:r>
              <w:rPr>
                <w:rFonts w:ascii="Calibri" w:hAnsi="Calibri"/>
                <w:sz w:val="22"/>
              </w:rPr>
              <w:t>105.2</w:t>
            </w:r>
          </w:p>
        </w:tc>
        <w:tc>
          <w:tcPr>
            <w:tcW w:type="dxa" w:w="2160"/>
          </w:tcPr>
          <w:p>
            <w:r>
              <w:rPr>
                <w:rFonts w:ascii="Calibri" w:hAnsi="Calibri"/>
                <w:sz w:val="22"/>
              </w:rPr>
              <w:t>104.8</w:t>
            </w:r>
          </w:p>
        </w:tc>
        <w:tc>
          <w:tcPr>
            <w:tcW w:type="dxa" w:w="2160"/>
          </w:tcPr>
          <w:p>
            <w:r>
              <w:rPr>
                <w:rFonts w:ascii="Calibri" w:hAnsi="Calibri"/>
                <w:sz w:val="22"/>
              </w:rPr>
              <w:t>103.8</w:t>
            </w:r>
          </w:p>
        </w:tc>
      </w:tr>
    </w:tbl>
    <w:p>
      <w:r>
        <w:rPr>
          <w:rFonts w:ascii="Calibri" w:hAnsi="Calibri"/>
          <w:i/>
          <w:color w:val="525866"/>
          <w:sz w:val="22"/>
        </w:rPr>
        <w:t>Note: Indexed prices computed from raw close prices (base = 100 at April 28, 2026 close). EXR: $141.02 → $148.29 (+5.2%); IYR: $101.74 → $106.64 (+4.8%); SPY: $711.69 → $739.09 (+3.8%). Source: Stock Price Data (Yahoo Finance).</w:t>
      </w:r>
    </w:p>
    <w:p>
      <w:r>
        <w:rPr>
          <w:rFonts w:ascii="Calibri" w:hAnsi="Calibri"/>
          <w:b/>
          <w:color w:val="525866"/>
          <w:sz w:val="22"/>
        </w:rPr>
        <w:t xml:space="preserve">Key events since Q1 earnings: </w:t>
      </w:r>
      <w:r>
        <w:rPr>
          <w:rFonts w:ascii="Calibri" w:hAnsi="Calibri"/>
          <w:color w:val="525866"/>
          <w:sz w:val="22"/>
        </w:rPr>
        <w:t>(1) EXR priced $550M in 4.900% Senior Notes due 2032 on June 25, 2026 (closed July 6, 2026) — balance sheet management, no material stock reaction. (2) PSA completed the NSA acquisition on July 22, 2026 — competitive landscape shift, modestly positive for EXR as it removes a smaller, less-efficient competitor. The stock has broadly tracked the REIT sector (IYR) with a slight premium, consistent with improving fundamentals but no multiple re-rating.</w:t>
      </w:r>
    </w:p>
    <w:p>
      <w:r>
        <w:rPr>
          <w:rFonts w:ascii="Calibri" w:hAnsi="Calibri"/>
          <w:b/>
          <w:color w:val="525866"/>
          <w:sz w:val="22"/>
        </w:rPr>
        <w:t xml:space="preserve">Valuation context: </w:t>
      </w:r>
      <w:r>
        <w:rPr>
          <w:rFonts w:ascii="Calibri" w:hAnsi="Calibri"/>
          <w:color w:val="525866"/>
          <w:sz w:val="22"/>
        </w:rPr>
        <w:t>EXR trades at NTM EV/EBITDA of 18.4x (latest), essentially flat vs. 18.3x three months ago and 18.7x twelve months ago. The 12-month price decline of −1.5% is almost entirely explained by the −1.4% multiple contraction, with earnings growth roughly flat. Over the past 3–6 months, the +4–5% price recovery has been driven by a combination of modest multiple expansion (+0.4%) and improving earnings expectations. Source: Stock Performance Decomposition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completion of the PSA/NSA merger (July 22, 2026), which reshapes the competitive landscape and removes a weaker operator from the market — a net positive for EXR’s pricing power and market share. The $550M debt offering is balance-sheet housekeeping with no operational read-through.</w:t>
      </w:r>
    </w:p>
    <w:p>
      <w:pPr>
        <w:pStyle w:val="ListBullet"/>
        <w:ind w:left="360" w:hanging="360"/>
      </w:pPr>
      <w:r>
        <w:rPr>
          <w:rFonts w:ascii="Calibri" w:hAnsi="Calibri"/>
          <w:b/>
          <w:color w:val="525866"/>
          <w:sz w:val="22"/>
        </w:rPr>
        <w:t>July 22, 2026 — PSA Completes NSA Acquisition; Forms $3.2B Real Estate JV.</w:t>
      </w:r>
      <w:r>
        <w:rPr>
          <w:rFonts w:ascii="Calibri" w:hAnsi="Calibri"/>
          <w:color w:val="525866"/>
          <w:sz w:val="22"/>
        </w:rPr>
        <w:t xml:space="preserve"> Public Storage closed its all-stock acquisition of National Storage Affiliates Trust, creating the largest self-storage operator by store count. PSA also formed a $3.2B real estate joint venture as part of the transaction. </w:t>
      </w:r>
    </w:p>
    <w:p>
      <w:pPr>
        <w:pStyle w:val="ListBullet"/>
        <w:ind w:left="360" w:hanging="360"/>
      </w:pPr>
      <w:r>
        <w:rPr>
          <w:rFonts w:ascii="Calibri" w:hAnsi="Calibri"/>
          <w:i/>
          <w:color w:val="525866"/>
          <w:sz w:val="22"/>
        </w:rPr>
        <w:t xml:space="preserve">Implication for EXR: </w:t>
      </w:r>
      <w:r>
        <w:rPr>
          <w:rFonts w:ascii="Calibri" w:hAnsi="Calibri"/>
          <w:color w:val="525866"/>
          <w:sz w:val="22"/>
        </w:rPr>
        <w:t>Removes NSA as an independent competitor; PSA will likely improve operational efficiency at former NSA stores over time, but EXR management has previously stated it does not expect a material change in competitive dynamics. The combined entity is a stronger but familiar competitor. Source: PSA 8-K (July 22, 2026); NSA 8-K (July 22, 2026).</w:t>
      </w:r>
    </w:p>
    <w:p>
      <w:pPr>
        <w:pStyle w:val="ListBullet"/>
        <w:ind w:left="360" w:hanging="360"/>
      </w:pPr>
      <w:r>
        <w:rPr>
          <w:rFonts w:ascii="Calibri" w:hAnsi="Calibri"/>
          <w:b/>
          <w:color w:val="525866"/>
          <w:sz w:val="22"/>
        </w:rPr>
        <w:t>July 6, 2026 — EXR Closes $550M Senior Notes Offering (4.900% due 2032).</w:t>
      </w:r>
      <w:r>
        <w:rPr>
          <w:rFonts w:ascii="Calibri" w:hAnsi="Calibri"/>
          <w:color w:val="525866"/>
          <w:sz w:val="22"/>
        </w:rPr>
        <w:t xml:space="preserve"> Extra Space Storage LP completed an underwritten public offering of $550M in senior unsecured notes at 99.702% of par, bearing interest at 4.900% per annum, maturing February 1, 2032. </w:t>
      </w:r>
    </w:p>
    <w:p>
      <w:pPr>
        <w:pStyle w:val="ListBullet"/>
        <w:ind w:left="360" w:hanging="360"/>
      </w:pPr>
      <w:r>
        <w:rPr>
          <w:rFonts w:ascii="Calibri" w:hAnsi="Calibri"/>
          <w:i/>
          <w:color w:val="525866"/>
          <w:sz w:val="22"/>
        </w:rPr>
        <w:t xml:space="preserve">Implication for EXR: </w:t>
      </w:r>
      <w:r>
        <w:rPr>
          <w:rFonts w:ascii="Calibri" w:hAnsi="Calibri"/>
          <w:color w:val="525866"/>
          <w:sz w:val="22"/>
        </w:rPr>
        <w:t>Proactive balance sheet management; locks in fixed-rate financing at a reasonable cost. No operational read-through. Source: EXR 8-K (July 6, 2026).</w:t>
      </w:r>
    </w:p>
    <w:p>
      <w:pPr>
        <w:pStyle w:val="ListBullet"/>
        <w:ind w:left="360" w:hanging="360"/>
      </w:pPr>
      <w:r>
        <w:rPr>
          <w:rFonts w:ascii="Calibri" w:hAnsi="Calibri"/>
          <w:b/>
          <w:color w:val="525866"/>
          <w:sz w:val="22"/>
        </w:rPr>
        <w:t>June 25, 2026 — EXR Prices $550M Senior Notes Offering.</w:t>
      </w:r>
      <w:r>
        <w:rPr>
          <w:rFonts w:ascii="Calibri" w:hAnsi="Calibri"/>
          <w:color w:val="525866"/>
          <w:sz w:val="22"/>
        </w:rPr>
        <w:t xml:space="preserve"> Pricing announcement for the above offering. Source: EXR 8-K (June 25, 2026).</w:t>
      </w:r>
    </w:p>
    <w:p>
      <w:pPr>
        <w:pStyle w:val="ListBullet"/>
        <w:ind w:left="360" w:hanging="360"/>
      </w:pPr>
      <w:r>
        <w:rPr>
          <w:rFonts w:ascii="Calibri" w:hAnsi="Calibri"/>
          <w:b/>
          <w:color w:val="525866"/>
          <w:sz w:val="22"/>
        </w:rPr>
        <w:t>June 30, 2026 — EXR Announces Q2 2026 Earnings Date.</w:t>
      </w:r>
      <w:r>
        <w:rPr>
          <w:rFonts w:ascii="Calibri" w:hAnsi="Calibri"/>
          <w:color w:val="525866"/>
          <w:sz w:val="22"/>
        </w:rPr>
        <w:t xml:space="preserve"> Company confirmed July 28, 2026 after-market-close earnings release and July 29, 2026 conference call at 1:00 PM ET. Source: EXR Press Release (June 30, 2026).</w:t>
      </w:r>
    </w:p>
    <w:p>
      <w:pPr>
        <w:pStyle w:val="ListBullet"/>
        <w:ind w:left="360" w:hanging="360"/>
      </w:pPr>
      <w:r>
        <w:rPr>
          <w:rFonts w:ascii="Calibri" w:hAnsi="Calibri"/>
          <w:b/>
          <w:color w:val="525866"/>
          <w:sz w:val="22"/>
        </w:rPr>
        <w:t>May 15, 2026 — EXR Annual Meeting: Directors Elected, Auditor and Executive Pay Approved.</w:t>
      </w:r>
      <w:r>
        <w:rPr>
          <w:rFonts w:ascii="Calibri" w:hAnsi="Calibri"/>
          <w:color w:val="525866"/>
          <w:sz w:val="22"/>
        </w:rPr>
        <w:t xml:space="preserve"> Routine annual meeting; no material governance changes. Source: EXR 8-K (May 15, 2026).</w:t>
      </w:r>
    </w:p>
    <w:p>
      <w:pPr>
        <w:pStyle w:val="ListBullet"/>
        <w:ind w:left="360" w:hanging="360"/>
      </w:pPr>
      <w:r>
        <w:rPr>
          <w:rFonts w:ascii="Calibri" w:hAnsi="Calibri"/>
          <w:b/>
          <w:color w:val="525866"/>
          <w:sz w:val="22"/>
        </w:rPr>
        <w:t>July 15, 2026 — Congress Enacts 21st Century ROAD to Housing Act.</w:t>
      </w:r>
      <w:r>
        <w:rPr>
          <w:rFonts w:ascii="Calibri" w:hAnsi="Calibri"/>
          <w:color w:val="525866"/>
          <w:sz w:val="22"/>
        </w:rPr>
        <w:t xml:space="preserve"> Bipartisan housing legislation (House 358-32, Senate 85-5) aimed at addressing affordability. </w:t>
      </w:r>
    </w:p>
    <w:p>
      <w:pPr>
        <w:pStyle w:val="ListBullet"/>
        <w:ind w:left="360" w:hanging="360"/>
      </w:pPr>
      <w:r>
        <w:rPr>
          <w:rFonts w:ascii="Calibri" w:hAnsi="Calibri"/>
          <w:i/>
          <w:color w:val="525866"/>
          <w:sz w:val="22"/>
        </w:rPr>
        <w:t xml:space="preserve">Implication for EXR: </w:t>
      </w:r>
      <w:r>
        <w:rPr>
          <w:rFonts w:ascii="Calibri" w:hAnsi="Calibri"/>
          <w:color w:val="525866"/>
          <w:sz w:val="22"/>
        </w:rPr>
        <w:t>Potential long-term tailwind if legislation increases housing supply and mobility (more moves = more storage demand), but near-term impact is unclear. Source: Washington Post (July 15, 2026).</w:t>
      </w:r>
    </w:p>
    <w:p>
      <w:pPr>
        <w:pStyle w:val="ListBullet"/>
        <w:ind w:left="360" w:hanging="360"/>
      </w:pPr>
      <w:r>
        <w:rPr>
          <w:rFonts w:ascii="Calibri" w:hAnsi="Calibri"/>
          <w:b/>
          <w:color w:val="525866"/>
          <w:sz w:val="22"/>
        </w:rPr>
        <w:t>Ongoing — LA County Rent Restrictions.</w:t>
      </w:r>
      <w:r>
        <w:rPr>
          <w:rFonts w:ascii="Calibri" w:hAnsi="Calibri"/>
          <w:color w:val="525866"/>
          <w:sz w:val="22"/>
        </w:rPr>
        <w:t xml:space="preserve"> EXR continues to expect a ~40 bps headwind to full-year same-store revenue from LA County rent restrictions (73 of 122 LA MSA stores affected), assuming the state of emergency remains in effect for the full year. Occupancy in LA County has built to ~96%, partially offsetting the rate restriction. Source: EXR Q1 2026 Earnings Call (April 29, 2026).</w:t>
      </w:r>
    </w:p>
    <w:p>
      <w:pPr>
        <w:pStyle w:val="ListBullet"/>
        <w:ind w:left="360" w:hanging="360"/>
      </w:pPr>
      <w:r>
        <w:rPr>
          <w:rFonts w:ascii="Calibri" w:hAnsi="Calibri"/>
          <w:i/>
          <w:color w:val="525866"/>
          <w:sz w:val="22"/>
        </w:rPr>
        <w:t>No analyst rating changes for EXR were found in the research window (April 28 – July 28, 2026).</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Only one open-market transaction was disclosed in the window — a discretionary sale by the EVP/Chief Legal Officer in mid-June. The size is modest and not clustered with other insider activity; no open-market buys were filed. Nothing stands out as a meaningful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McNeal Gwyn Goodson</w:t>
            </w:r>
          </w:p>
        </w:tc>
        <w:tc>
          <w:tcPr>
            <w:tcW w:type="dxa" w:w="1440"/>
          </w:tcPr>
          <w:p>
            <w:r>
              <w:rPr>
                <w:rFonts w:ascii="Calibri" w:hAnsi="Calibri"/>
                <w:sz w:val="22"/>
              </w:rPr>
              <w:t>EVP / Chief Legal Officer</w:t>
            </w:r>
          </w:p>
        </w:tc>
        <w:tc>
          <w:tcPr>
            <w:tcW w:type="dxa" w:w="1440"/>
          </w:tcPr>
          <w:p>
            <w:r>
              <w:rPr>
                <w:rFonts w:ascii="Calibri" w:hAnsi="Calibri"/>
                <w:sz w:val="22"/>
              </w:rPr>
              <w:t>Open Market Sale</w:t>
            </w:r>
          </w:p>
        </w:tc>
        <w:tc>
          <w:tcPr>
            <w:tcW w:type="dxa" w:w="1440"/>
          </w:tcPr>
          <w:p>
            <w:r>
              <w:rPr>
                <w:rFonts w:ascii="Calibri" w:hAnsi="Calibri"/>
                <w:sz w:val="22"/>
              </w:rPr>
              <w:t>3,300 shares</w:t>
            </w:r>
          </w:p>
        </w:tc>
        <w:tc>
          <w:tcPr>
            <w:tcW w:type="dxa" w:w="1440"/>
          </w:tcPr>
          <w:p>
            <w:r>
              <w:rPr>
                <w:rFonts w:ascii="Calibri" w:hAnsi="Calibri"/>
                <w:sz w:val="22"/>
              </w:rPr>
              <w:t>June 11, 2026 (filed June 12, 2026)</w:t>
            </w:r>
          </w:p>
        </w:tc>
        <w:tc>
          <w:tcPr>
            <w:tcW w:type="dxa" w:w="1440"/>
          </w:tcPr>
          <w:p>
            <w:r>
              <w:rPr>
                <w:rFonts w:ascii="Calibri" w:hAnsi="Calibri"/>
                <w:sz w:val="22"/>
              </w:rPr>
              <w:t>Discretionary sale; not flagged as 10b5-1 plan. Remaining holdings: 37,374 shares. Modest size relative to position.</w:t>
            </w:r>
          </w:p>
        </w:tc>
      </w:tr>
    </w:tbl>
    <w:p>
      <w:r>
        <w:rPr>
          <w:rFonts w:ascii="Calibri" w:hAnsi="Calibri"/>
          <w:i/>
          <w:color w:val="525866"/>
          <w:sz w:val="22"/>
        </w:rPr>
        <w:t>Source: SEC Form 4 Filing — McNeal Gwyn Goodson (EXR), filed June 12, 2026. Window: April 28 – July 28, 2026 (filing date). No open-market buys or 10b5-1 plan initiations were found in the window.</w:t>
      </w:r>
    </w:p>
    <w:p>
      <w:r>
        <w:br w:type="page"/>
      </w:r>
    </w:p>
    <w:p>
      <w:pPr>
        <w:pStyle w:val="Heading2"/>
      </w:pPr>
      <w:r>
        <w:rPr>
          <w:rFonts w:ascii="Calibri" w:hAnsi="Calibri"/>
          <w:b/>
          <w:color w:val="3B4259"/>
          <w:sz w:val="28"/>
        </w:rPr>
        <w:t>8. Peer Commentary — Q2 2026 Current-Quarter Read-Through</w:t>
      </w:r>
    </w:p>
    <w:p>
      <w:r>
        <w:rPr>
          <w:rFonts w:ascii="Calibri" w:hAnsi="Calibri"/>
          <w:b/>
          <w:color w:val="525866"/>
          <w:sz w:val="22"/>
        </w:rPr>
        <w:t xml:space="preserve">Key Takeaway: </w:t>
      </w:r>
      <w:r>
        <w:rPr>
          <w:rFonts w:ascii="Calibri" w:hAnsi="Calibri"/>
          <w:color w:val="525866"/>
          <w:sz w:val="22"/>
        </w:rPr>
        <w:t>The only qualifying peer commentary with direct Q2 2026 operating data comes from Public Storage’s investor presentation (June 1, 2026), which showed near-flat move-in rates YoY, a meaningful improvement in churn, and stable occupancy — collectively consistent with a self-storage sector that is stabilizing but not yet re-accelerating on pricing. This is a constructive read-through for EXR’s Q2 print.</w:t>
      </w:r>
    </w:p>
    <w:p>
      <w:r>
        <w:rPr>
          <w:rFonts w:ascii="Calibri" w:hAnsi="Calibri"/>
          <w:b/>
          <w:i/>
          <w:color w:val="525866"/>
          <w:sz w:val="22"/>
        </w:rPr>
        <w:t xml:space="preserve">Scope note: </w:t>
      </w:r>
      <w:r>
        <w:rPr>
          <w:rFonts w:ascii="Calibri" w:hAnsi="Calibri"/>
          <w:i/>
          <w:color w:val="525866"/>
          <w:sz w:val="22"/>
        </w:rPr>
        <w:t>Only commentary published May 29–July 28, 2026 that addresses Q2 2026 operating trends (April 1–June 30, 2026) is included below. Prior-quarter retrospective commentary (e.g., Q1 2026 results discussions) and merger/transaction disclosures without operating data (NSA 8-Ks, PSA debt filings) are explicitly excluded. CUBE has not yet reported Q2 2026 results (scheduled July 31, 2026).</w:t>
      </w:r>
    </w:p>
    <w:p>
      <w:pPr>
        <w:pStyle w:val="Heading3"/>
      </w:pPr>
      <w:r>
        <w:rPr>
          <w:rFonts w:ascii="Calibri" w:hAnsi="Calibri"/>
          <w:b/>
          <w:color w:val="3B4259"/>
          <w:sz w:val="24"/>
        </w:rPr>
        <w:t>Public Storage (PSA) — Q2 2026 Operating Update (June 1, 2026)</w:t>
      </w:r>
    </w:p>
    <w:p>
      <w:r>
        <w:rPr>
          <w:rFonts w:ascii="Calibri" w:hAnsi="Calibri"/>
          <w:i/>
          <w:color w:val="525866"/>
          <w:sz w:val="22"/>
        </w:rPr>
        <w:t>Source: PSA 8-K / Investor Presentation filed June 1, 2026. Data covers April 1 – May 28, 2026 vs. same period 2025. Same-store pool: 2,755 facilities (192.1M net rentable sq ft), owned and operated on a stabilized basis since January 1, 2024.</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Apr 1 – May 28, 2026</w:t>
            </w:r>
          </w:p>
        </w:tc>
        <w:tc>
          <w:tcPr>
            <w:tcW w:type="dxa" w:w="2160"/>
            <w:shd w:val="clear" w:color="auto" w:fill="3B4259"/>
          </w:tcPr>
          <w:p>
            <w:r>
              <w:rPr>
                <w:rFonts w:ascii="Calibri" w:hAnsi="Calibri"/>
                <w:b/>
                <w:color w:val="FFFFFF"/>
                <w:sz w:val="22"/>
              </w:rPr>
              <w:t>Apr 1 – May 28, 2025</w:t>
            </w:r>
          </w:p>
        </w:tc>
        <w:tc>
          <w:tcPr>
            <w:tcW w:type="dxa" w:w="2160"/>
            <w:shd w:val="clear" w:color="auto" w:fill="3B4259"/>
          </w:tcPr>
          <w:p>
            <w:r>
              <w:rPr>
                <w:rFonts w:ascii="Calibri" w:hAnsi="Calibri"/>
                <w:b/>
                <w:color w:val="FFFFFF"/>
                <w:sz w:val="22"/>
              </w:rPr>
              <w:t>YoY Change</w:t>
            </w:r>
          </w:p>
        </w:tc>
      </w:tr>
      <w:tr>
        <w:tc>
          <w:tcPr>
            <w:tcW w:type="dxa" w:w="2160"/>
          </w:tcPr>
          <w:p>
            <w:r>
              <w:rPr>
                <w:rFonts w:ascii="Calibri" w:hAnsi="Calibri"/>
                <w:sz w:val="22"/>
              </w:rPr>
              <w:t>Move-In Avg. Annual Contract Rent / Sq Ft</w:t>
            </w:r>
          </w:p>
        </w:tc>
        <w:tc>
          <w:tcPr>
            <w:tcW w:type="dxa" w:w="2160"/>
          </w:tcPr>
          <w:p>
            <w:r>
              <w:rPr>
                <w:rFonts w:ascii="Calibri" w:hAnsi="Calibri"/>
                <w:sz w:val="22"/>
              </w:rPr>
              <w:t>$13.10</w:t>
            </w:r>
          </w:p>
        </w:tc>
        <w:tc>
          <w:tcPr>
            <w:tcW w:type="dxa" w:w="2160"/>
          </w:tcPr>
          <w:p>
            <w:r>
              <w:rPr>
                <w:rFonts w:ascii="Calibri" w:hAnsi="Calibri"/>
                <w:sz w:val="22"/>
              </w:rPr>
              <w:t>$13.13</w:t>
            </w:r>
          </w:p>
        </w:tc>
        <w:tc>
          <w:tcPr>
            <w:tcW w:type="dxa" w:w="2160"/>
          </w:tcPr>
          <w:p>
            <w:r>
              <w:rPr>
                <w:rFonts w:ascii="Calibri" w:hAnsi="Calibri"/>
                <w:sz w:val="22"/>
              </w:rPr>
              <w:t>−0.2%</w:t>
            </w:r>
          </w:p>
        </w:tc>
      </w:tr>
      <w:tr>
        <w:tc>
          <w:tcPr>
            <w:tcW w:type="dxa" w:w="2160"/>
          </w:tcPr>
          <w:p>
            <w:r>
              <w:rPr>
                <w:rFonts w:ascii="Calibri" w:hAnsi="Calibri"/>
                <w:sz w:val="22"/>
              </w:rPr>
              <w:t>Move-Out Avg. Annual Contract Rent / Sq Ft</w:t>
            </w:r>
          </w:p>
        </w:tc>
        <w:tc>
          <w:tcPr>
            <w:tcW w:type="dxa" w:w="2160"/>
          </w:tcPr>
          <w:p>
            <w:r>
              <w:rPr>
                <w:rFonts w:ascii="Calibri" w:hAnsi="Calibri"/>
                <w:sz w:val="22"/>
              </w:rPr>
              <w:t>$18.98</w:t>
            </w:r>
          </w:p>
        </w:tc>
        <w:tc>
          <w:tcPr>
            <w:tcW w:type="dxa" w:w="2160"/>
          </w:tcPr>
          <w:p>
            <w:r>
              <w:rPr>
                <w:rFonts w:ascii="Calibri" w:hAnsi="Calibri"/>
                <w:sz w:val="22"/>
              </w:rPr>
              <w:t>$19.79</w:t>
            </w:r>
          </w:p>
        </w:tc>
        <w:tc>
          <w:tcPr>
            <w:tcW w:type="dxa" w:w="2160"/>
          </w:tcPr>
          <w:p>
            <w:r>
              <w:rPr>
                <w:rFonts w:ascii="Calibri" w:hAnsi="Calibri"/>
                <w:sz w:val="22"/>
              </w:rPr>
              <w:t>−4.1%</w:t>
            </w:r>
          </w:p>
        </w:tc>
      </w:tr>
      <w:tr>
        <w:tc>
          <w:tcPr>
            <w:tcW w:type="dxa" w:w="2160"/>
          </w:tcPr>
          <w:p>
            <w:r>
              <w:rPr>
                <w:rFonts w:ascii="Calibri" w:hAnsi="Calibri"/>
                <w:sz w:val="22"/>
              </w:rPr>
              <w:t>Same-Store Churn (units moved out / starting occupied units)</w:t>
            </w:r>
          </w:p>
        </w:tc>
        <w:tc>
          <w:tcPr>
            <w:tcW w:type="dxa" w:w="2160"/>
          </w:tcPr>
          <w:p>
            <w:r>
              <w:rPr>
                <w:rFonts w:ascii="Calibri" w:hAnsi="Calibri"/>
                <w:sz w:val="22"/>
              </w:rPr>
              <w:t>16.4%</w:t>
            </w:r>
          </w:p>
        </w:tc>
        <w:tc>
          <w:tcPr>
            <w:tcW w:type="dxa" w:w="2160"/>
          </w:tcPr>
          <w:p>
            <w:r>
              <w:rPr>
                <w:rFonts w:ascii="Calibri" w:hAnsi="Calibri"/>
                <w:sz w:val="22"/>
              </w:rPr>
              <w:t>19.6%</w:t>
            </w:r>
          </w:p>
        </w:tc>
        <w:tc>
          <w:tcPr>
            <w:tcW w:type="dxa" w:w="2160"/>
          </w:tcPr>
          <w:p>
            <w:r>
              <w:rPr>
                <w:rFonts w:ascii="Calibri" w:hAnsi="Calibri"/>
                <w:sz w:val="22"/>
              </w:rPr>
              <w:t>−3.2 ppts (significant improvement)</w:t>
            </w:r>
          </w:p>
        </w:tc>
      </w:tr>
      <w:tr>
        <w:tc>
          <w:tcPr>
            <w:tcW w:type="dxa" w:w="2160"/>
          </w:tcPr>
          <w:p>
            <w:r>
              <w:rPr>
                <w:rFonts w:ascii="Calibri" w:hAnsi="Calibri"/>
                <w:sz w:val="22"/>
              </w:rPr>
              <w:t>Wtd. Avg. Sq Ft Occupancy (period avg.)</w:t>
            </w:r>
          </w:p>
        </w:tc>
        <w:tc>
          <w:tcPr>
            <w:tcW w:type="dxa" w:w="2160"/>
          </w:tcPr>
          <w:p>
            <w:r>
              <w:rPr>
                <w:rFonts w:ascii="Calibri" w:hAnsi="Calibri"/>
                <w:sz w:val="22"/>
              </w:rPr>
              <w:t>92.2%</w:t>
            </w:r>
          </w:p>
        </w:tc>
        <w:tc>
          <w:tcPr>
            <w:tcW w:type="dxa" w:w="2160"/>
          </w:tcPr>
          <w:p>
            <w:r>
              <w:rPr>
                <w:rFonts w:ascii="Calibri" w:hAnsi="Calibri"/>
                <w:sz w:val="22"/>
              </w:rPr>
              <w:t>92.1%</w:t>
            </w:r>
          </w:p>
        </w:tc>
        <w:tc>
          <w:tcPr>
            <w:tcW w:type="dxa" w:w="2160"/>
          </w:tcPr>
          <w:p>
            <w:r>
              <w:rPr>
                <w:rFonts w:ascii="Calibri" w:hAnsi="Calibri"/>
                <w:sz w:val="22"/>
              </w:rPr>
              <w:t>+0.1 ppts (stable)</w:t>
            </w:r>
          </w:p>
        </w:tc>
      </w:tr>
    </w:tbl>
    <w:p>
      <w:pPr>
        <w:pStyle w:val="Heading4"/>
      </w:pPr>
      <w:r>
        <w:rPr>
          <w:rFonts w:ascii="Calibri" w:hAnsi="Calibri"/>
          <w:b/>
          <w:color w:val="3B4259"/>
          <w:sz w:val="22"/>
        </w:rPr>
        <w:t>Read-Through Analysis for EXR</w:t>
      </w:r>
    </w:p>
    <w:p>
      <w:pPr>
        <w:pStyle w:val="ListBullet"/>
        <w:ind w:left="360" w:hanging="360"/>
      </w:pPr>
      <w:r>
        <w:rPr>
          <w:rFonts w:ascii="Calibri" w:hAnsi="Calibri"/>
          <w:b/>
          <w:color w:val="525866"/>
          <w:sz w:val="22"/>
        </w:rPr>
        <w:t xml:space="preserve">Move-in rates near-flat YoY (−0.2%): </w:t>
      </w:r>
      <w:r>
        <w:rPr>
          <w:rFonts w:ascii="Calibri" w:hAnsi="Calibri"/>
          <w:color w:val="525866"/>
          <w:sz w:val="22"/>
        </w:rPr>
        <w:t>PSA’s move-in rate trajectory is consistent with EXR’s Q1 2026 commentary that new customer rates moderated from +5–6% in January/February to just over +1% in March, and remained “modestly positive” in April. The PSA data covering April–May suggests the sector-wide move-in rate environment remained subdued through the heart of the leasing season — not a headwind, but not an acceleration either. For EXR, this is consistent with same-store revenue growth in the low-single-digit range rather than a meaningful re-acceleration.</w:t>
      </w:r>
    </w:p>
    <w:p>
      <w:pPr>
        <w:pStyle w:val="ListBullet"/>
        <w:ind w:left="360" w:hanging="360"/>
      </w:pPr>
      <w:r>
        <w:rPr>
          <w:rFonts w:ascii="Calibri" w:hAnsi="Calibri"/>
          <w:b/>
          <w:color w:val="525866"/>
          <w:sz w:val="22"/>
        </w:rPr>
        <w:t xml:space="preserve">Churn improvement of −3.2 ppts (16.4% vs. 19.6%): </w:t>
      </w:r>
      <w:r>
        <w:rPr>
          <w:rFonts w:ascii="Calibri" w:hAnsi="Calibri"/>
          <w:color w:val="525866"/>
          <w:sz w:val="22"/>
        </w:rPr>
        <w:t>This is the most constructive data point in the PSA update and is a strong read-through for EXR. Lower churn means fewer vacates, which supports occupancy and reduces the need for discounting to backfill units. EXR management noted on the Q1 call that vacates “remain muted compared to historical numbers” and that tenants staying over 12 months now represent ~64% of the base (up 167 bps YoY). The PSA churn data corroborates this sector-wide trend and suggests EXR’s tenant quality metrics likely continued to improve through Q2.</w:t>
      </w:r>
    </w:p>
    <w:p>
      <w:pPr>
        <w:pStyle w:val="ListBullet"/>
        <w:ind w:left="360" w:hanging="360"/>
      </w:pPr>
      <w:r>
        <w:rPr>
          <w:rFonts w:ascii="Calibri" w:hAnsi="Calibri"/>
          <w:b/>
          <w:color w:val="525866"/>
          <w:sz w:val="22"/>
        </w:rPr>
        <w:t xml:space="preserve">Occupancy stable at 92.2% (+0.1 ppts YoY): </w:t>
      </w:r>
      <w:r>
        <w:rPr>
          <w:rFonts w:ascii="Calibri" w:hAnsi="Calibri"/>
          <w:color w:val="525866"/>
          <w:sz w:val="22"/>
        </w:rPr>
        <w:t>PSA’s occupancy held essentially flat YoY during the peak leasing season, which is a positive signal for the sector. EXR entered Q2 with same-store occupancy at 93.0% (vs. 93.2% in Q1 2025), and management noted occupancy was improving both sequentially and YoY in April. The PSA data suggests the occupancy recovery trend was sustained through May, which is supportive of EXR’s Q2 occupancy consensus of ~93.8%.</w:t>
      </w:r>
    </w:p>
    <w:p>
      <w:pPr>
        <w:pStyle w:val="ListBullet"/>
        <w:ind w:left="360" w:hanging="360"/>
      </w:pPr>
      <w:r>
        <w:rPr>
          <w:rFonts w:ascii="Calibri" w:hAnsi="Calibri"/>
          <w:b/>
          <w:color w:val="525866"/>
          <w:sz w:val="22"/>
        </w:rPr>
        <w:t xml:space="preserve">Move-out rates declining (−4.1% YoY): </w:t>
      </w:r>
      <w:r>
        <w:rPr>
          <w:rFonts w:ascii="Calibri" w:hAnsi="Calibri"/>
          <w:color w:val="525866"/>
          <w:sz w:val="22"/>
        </w:rPr>
        <w:t>Customers moving out are leaving at lower rates than a year ago, which reflects the ECRI (Existing Customer Rate Increase) program’s success in building a higher-rate existing tenant base over time. This is a positive structural signal for same-store revenue as the rent roll continues to reprice upward. EXR management noted ECRI acceptance rates remained healthy through Q1 2026.</w:t>
      </w:r>
    </w:p>
    <w:p>
      <w:pPr>
        <w:pStyle w:val="ListBullet"/>
        <w:ind w:left="360" w:hanging="360"/>
      </w:pPr>
      <w:r>
        <w:rPr>
          <w:rFonts w:ascii="Calibri" w:hAnsi="Calibri"/>
          <w:b/>
          <w:color w:val="525866"/>
          <w:sz w:val="22"/>
        </w:rPr>
        <w:t xml:space="preserve">Overall read-through: </w:t>
      </w:r>
      <w:r>
        <w:rPr>
          <w:rFonts w:ascii="Calibri" w:hAnsi="Calibri"/>
          <w:color w:val="525866"/>
          <w:sz w:val="22"/>
        </w:rPr>
        <w:t>The PSA data is constructive for EXR’s Q2 print. The combination of near-flat move-in rates, significantly lower churn, and stable occupancy is consistent with a sector that is in a healthy, if not spectacular, recovery. The data does not suggest a meaningful upside surprise on same-store revenue growth beyond the ~1.2% consensus, but it does reduce the risk of a miss. The churn improvement is the most important signal — it supports EXR’s occupancy and pricing power narrative heading into the back half of 2026.</w:t>
      </w:r>
    </w:p>
    <w:p>
      <w:r>
        <w:rPr>
          <w:rFonts w:ascii="Calibri" w:hAnsi="Calibri"/>
          <w:b/>
          <w:color w:val="525866"/>
          <w:sz w:val="22"/>
        </w:rPr>
        <w:t xml:space="preserve">Peers not yet reported (as of July 28, 2026): </w:t>
      </w:r>
      <w:r>
        <w:rPr>
          <w:rFonts w:ascii="Calibri" w:hAnsi="Calibri"/>
          <w:color w:val="525866"/>
          <w:sz w:val="22"/>
        </w:rPr>
        <w:t>CubeSmart (CUBE) reports July 31, 2026. No qualifying Q2 2026 operating commentary from CUBE was found in the research window. NSA has been acquired by PSA (closed July 22, 2026) and will not report independently.</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