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-earnings-predictions--2026-07-28"/>
    <w:p>
      <w:pPr>
        <w:pStyle w:val="Heading1"/>
      </w:pPr>
      <w:r>
        <w:t xml:space="preserve">F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45.5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45.0B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9.0</m:t>
              </m:r>
              <m:r>
                <m:rPr>
                  <m:sty m:val="p"/>
                </m:rPr>
                <m:t>–</m:t>
              </m:r>
              <m:r>
                <m:t>10.5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a</m:t>
              </m:r>
              <m:r>
                <m:t>r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o</m:t>
              </m:r>
              <m:r>
                <m:t>u</m:t>
              </m:r>
              <m:r>
                <m:t>p</m:t>
              </m:r>
              <m:r>
                <m:t>p</m:t>
              </m:r>
              <m:r>
                <m:t>e</m:t>
              </m:r>
              <m:r>
                <m:t>r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9.5B midpoint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</m:t>
              </m:r>
              <m:r>
                <m:rPr>
                  <m:sty m:val="p"/>
                </m:rPr>
                <m:t>–</m:t>
              </m:r>
              <m:r>
                <m:t>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volume trough / H2 F-Series-Novelis recovery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Q2 US sales ~549k units (-10%) vs. cons ~560k, framed as trough with H2 rebuild (Q2/H2'26)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supplemental dividend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reg div</w:t>
            </w:r>
            <w:r>
              <w:t xml:space="preserve"> </w:t>
            </w:r>
            <m:oMath>
              <m:r>
                <m:t>0.15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l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a</m:t>
              </m:r>
              <m:r>
                <m:t>l</m:t>
              </m:r>
              <m:r>
                <m:t> </m:t>
              </m:r>
            </m:oMath>
            <w:r>
              <w:t xml:space="preserve">0.00–0.15 cons unmodeled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modest Q2 beat on a management-sandbagged low bar plus a narrowing of FY EBIT to the upper half should confirm the Jefferies 'trough + raise' thesis and drive a positive day-1 pop (~+3% residual, beta ~1.45). But the out-period math cuts the other way: the FY midpoint implies ~</w:t>
            </w:r>
            <m:oMath>
              <m:r>
                <m:t>6</m:t>
              </m:r>
              <m:r>
                <m:t>B</m:t>
              </m:r>
              <m:r>
                <m:t>a</m:t>
              </m:r>
              <m:r>
                <m:t>c</m:t>
              </m:r>
              <m:r>
                <m:t>r</m:t>
              </m:r>
              <m:r>
                <m:t>o</m:t>
              </m:r>
              <m:r>
                <m:t>s</m:t>
              </m:r>
              <m:r>
                <m:t>s</m:t>
              </m:r>
              <m:r>
                <m:t>Q</m:t>
              </m:r>
              <m:r>
                <m:t>2</m:t>
              </m:r>
              <m:r>
                <m:rPr>
                  <m:sty m:val="p"/>
                </m:rPr>
                <m:t>–</m:t>
              </m:r>
              <m:r>
                <m:t>Q</m:t>
              </m:r>
              <m:r>
                <m:t>4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 </m:t>
              </m:r>
            </m:oMath>
            <w:r>
              <w:t xml:space="preserve">2B commodity headwind hardening into 2H, wider Model e/UEV launch losses, and the non-repeat of Q1's $1.3B IEEPA benefit — so even after a beat, forward EBIT/EPS revisions drift lower. With the stock already +20% off April lows and pre-primed by the upgrade, the initial reaction fades as analysts digest the still-large 2H headwinds; net ~+1% residual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2026-07-28T02:13:30Z</dcterms:created>
  <dcterms:modified xsi:type="dcterms:W3CDTF">2026-07-28T02:13:30Z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