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Ford (F) before writing the preview. Let me gather recent earnings, filings, guidance, and news.Let me read the most recent earnings materials and gather more context.Let me pull recent stock price context and check for any additional preview-relevant news.Let me quickly review Ford's Q2 U.S. sales release for volume details ahead of the print.I have what I need. Here's the earnings preview.</w:t>
      </w:r>
    </w:p>
    <w:p>
      <w:r>
        <w:pict>
          <v:rect style="width:0;height:1.5pt" o:hralign="center" o:hrstd="t" o:hr="t"/>
        </w:pict>
      </w:r>
    </w:p>
    <w:bookmarkStart w:id="16" w:name="ford-f--q2-2026-earnings-preview"/>
    <w:p>
      <w:pPr>
        <w:pStyle w:val="Heading1"/>
      </w:pPr>
      <w:r>
        <w:t xml:space="preserve">Ford (F) — Q2 2026 Earnings Preview</w:t>
      </w:r>
    </w:p>
    <w:bookmarkStart w:id="9" w:name="Xbaf8a47d6e992b9f04f82e621a73d81b1fe0d0c"/>
    <w:p>
      <w:pPr>
        <w:pStyle w:val="Heading3"/>
      </w:pPr>
      <w:r>
        <w:t xml:space="preserve">Report date: Tuesday, July 28, 2026 (after market close) · Event: 2026Q2 Earnings Call</w:t>
      </w:r>
    </w:p>
    <w:p>
      <w:r>
        <w:pict>
          <v:rect style="width:0;height:1.5pt" o:hralign="center" o:hrstd="t" o:hr="t"/>
        </w:pict>
      </w:r>
    </w:p>
    <w:bookmarkEnd w:id="9"/>
    <w:bookmarkStart w:id="10" w:name="the-setup-in-one-paragraph"/>
    <w:p>
      <w:pPr>
        <w:pStyle w:val="Heading2"/>
      </w:pPr>
      <w:r>
        <w:t xml:space="preserve">The setup in one paragraph</w:t>
      </w:r>
    </w:p>
    <w:p>
      <w:pPr>
        <w:pStyle w:val="FirstParagraph"/>
      </w:pPr>
      <w:r>
        <w:t xml:space="preserve">Ford heads into Q2 with the stock at **</w:t>
      </w:r>
      <m:oMath>
        <m:r>
          <m:t>14.69</m:t>
        </m:r>
        <m:r>
          <m:rPr>
            <m:sty m:val="p"/>
          </m:rPr>
          <m:t>*</m:t>
        </m:r>
        <m:r>
          <m:rPr>
            <m:sty m:val="p"/>
          </m:rPr>
          <m:t>*</m:t>
        </m:r>
        <m:r>
          <m:rPr>
            <m:sty m:val="p"/>
          </m:rPr>
          <m:t>(</m:t>
        </m:r>
        <m:r>
          <m:t>J</m:t>
        </m:r>
        <m:r>
          <m:t>u</m:t>
        </m:r>
        <m:r>
          <m:t>l</m:t>
        </m:r>
        <m:r>
          <m:t>y</m:t>
        </m:r>
        <m:r>
          <m:t>27</m:t>
        </m:r>
        <m:r>
          <m:t>c</m:t>
        </m:r>
        <m:r>
          <m:t>l</m:t>
        </m:r>
        <m:r>
          <m:t>o</m:t>
        </m:r>
        <m:r>
          <m:t>s</m:t>
        </m:r>
        <m:r>
          <m:t>e</m:t>
        </m:r>
        <m:r>
          <m:rPr>
            <m:sty m:val="p"/>
          </m:rPr>
          <m:t>)</m:t>
        </m:r>
        <m:r>
          <m:rPr>
            <m:sty m:val="p"/>
          </m:rPr>
          <m:t>,</m:t>
        </m:r>
        <m:r>
          <m:t>u</m:t>
        </m:r>
        <m:r>
          <m:t>p</m:t>
        </m:r>
        <m:r>
          <m:t>s</m:t>
        </m:r>
        <m:r>
          <m:t>h</m:t>
        </m:r>
        <m:r>
          <m:t>a</m:t>
        </m:r>
        <m:r>
          <m:t>r</m:t>
        </m:r>
        <m:r>
          <m:t>p</m:t>
        </m:r>
        <m:r>
          <m:t>l</m:t>
        </m:r>
        <m:r>
          <m:t>y</m:t>
        </m:r>
        <m:r>
          <m:t>f</m:t>
        </m:r>
        <m:r>
          <m:t>r</m:t>
        </m:r>
        <m:r>
          <m:t>o</m:t>
        </m:r>
        <m:r>
          <m:t>m</m:t>
        </m:r>
        <m:r>
          <m:t> </m:t>
        </m:r>
      </m:oMath>
      <w:r>
        <w:t xml:space="preserve">12 in late April but well off its late-May peak near</w:t>
      </w:r>
      <w:r>
        <w:t xml:space="preserve"> </w:t>
      </w:r>
      <w:r>
        <w:rPr>
          <w:b/>
          <w:bCs/>
        </w:rPr>
        <w:t xml:space="preserve">$17.40</w:t>
      </w:r>
      <w:r>
        <w:t xml:space="preserve">. Sentiment has warmed into the print — Jefferies upgraded the stock to Buy from Hold ahead of the quarter, expects Q2 to represent the low point for volume, believes management could raise guidance, and raised its price target to</w:t>
      </w:r>
      <w:r>
        <w:t xml:space="preserve"> </w:t>
      </w:r>
      <m:oMath>
        <m:r>
          <m:t>17.50</m:t>
        </m:r>
        <m:r>
          <m:rPr>
            <m:sty m:val="p"/>
          </m:rPr>
          <m:t>(</m:t>
        </m:r>
        <m:r>
          <m:t>r</m:t>
        </m:r>
        <m:r>
          <m:t>o</m:t>
        </m:r>
        <m:r>
          <m:t>u</m:t>
        </m:r>
        <m:r>
          <m:t>g</m:t>
        </m:r>
        <m:r>
          <m:t>h</m:t>
        </m:r>
        <m:r>
          <m:t>l</m:t>
        </m:r>
        <m:r>
          <m:t>y</m:t>
        </m:r>
        <m:r>
          <m:t>22</m:t>
        </m:r>
      </m:oMath>
      <w:r>
        <w:t xml:space="preserve">3.5B adjusted EBIT), but it was flattered by a one-time tariff benefit that does</w:t>
      </w:r>
      <w:r>
        <w:t xml:space="preserve"> </w:t>
      </w:r>
      <w:r>
        <w:rPr>
          <w:b/>
          <w:bCs/>
        </w:rPr>
        <w:t xml:space="preserve">not</w:t>
      </w:r>
      <w:r>
        <w:t xml:space="preserve"> </w:t>
      </w:r>
      <w:r>
        <w:t xml:space="preserve">repeat, and management explicitly guided to a much lower run-rate for the rest of the year. So the "beat" bar is really about the</w:t>
      </w:r>
      <w:r>
        <w:t xml:space="preserve"> </w:t>
      </w:r>
      <w:r>
        <w:rPr>
          <w:i/>
          <w:iCs/>
        </w:rPr>
        <w:t xml:space="preserve">quality</w:t>
      </w:r>
      <w:r>
        <w:t xml:space="preserve"> </w:t>
      </w:r>
      <w:r>
        <w:t xml:space="preserve">of the quarter and whether guidance moves up again.</w:t>
      </w:r>
    </w:p>
    <w:p>
      <w:r>
        <w:pict>
          <v:rect style="width:0;height:1.5pt" o:hralign="center" o:hrstd="t" o:hr="t"/>
        </w:pict>
      </w:r>
    </w:p>
    <w:bookmarkEnd w:id="10"/>
    <w:bookmarkStart w:id="11" w:name="what-q1-told-us-the-jumping-off-point"/>
    <w:p>
      <w:pPr>
        <w:pStyle w:val="Heading2"/>
      </w:pPr>
      <w:r>
        <w:t xml:space="preserve">What Q1 told us (the jumping-off point)</w:t>
      </w:r>
    </w:p>
    <w:p>
      <w:pPr>
        <w:pStyle w:val="Compact"/>
        <w:numPr>
          <w:ilvl w:val="0"/>
          <w:numId w:val="1001"/>
        </w:numPr>
      </w:pPr>
      <w:r>
        <w:rPr>
          <w:b/>
          <w:bCs/>
        </w:rPr>
        <w:t xml:space="preserve">Q1 revenue $43.3B (+6% y/y); adjusted EBIT $3.5B (8.1% margin); adjusted EPS $0.66; net income</w:t>
      </w:r>
      <w:r>
        <w:rPr>
          <w:b/>
          <w:bCs/>
        </w:rPr>
        <w:t xml:space="preserve"> </w:t>
      </w:r>
      <m:oMath>
        <m:r>
          <m:t>2.5</m:t>
        </m:r>
        <m:r>
          <m:t>B</m:t>
        </m:r>
        <m:r>
          <m:rPr>
            <m:sty m:val="p"/>
          </m:rPr>
          <m:t>.</m:t>
        </m:r>
        <m:r>
          <m:rPr>
            <m:sty m:val="p"/>
          </m:rPr>
          <m:t>*</m:t>
        </m:r>
        <m:r>
          <m:rPr>
            <m:sty m:val="p"/>
          </m:rPr>
          <m:t>*</m:t>
        </m:r>
        <m:r>
          <m:t>R</m:t>
        </m:r>
        <m:r>
          <m:t>e</m:t>
        </m:r>
        <m:r>
          <m:t>s</m:t>
        </m:r>
        <m:r>
          <m:t>u</m:t>
        </m:r>
        <m:r>
          <m:t>l</m:t>
        </m:r>
        <m:r>
          <m:t>t</m:t>
        </m:r>
        <m:r>
          <m:t>s</m:t>
        </m:r>
        <m:r>
          <m:t>i</m:t>
        </m:r>
        <m:r>
          <m:t>n</m:t>
        </m:r>
        <m:r>
          <m:t>c</m:t>
        </m:r>
        <m:r>
          <m:t>l</m:t>
        </m:r>
        <m:r>
          <m:t>u</m:t>
        </m:r>
        <m:r>
          <m:t>d</m:t>
        </m:r>
        <m:r>
          <m:t>e</m:t>
        </m:r>
        <m:r>
          <m:t>d</m:t>
        </m:r>
        <m:r>
          <m:t>a</m:t>
        </m:r>
        <m:r>
          <m:rPr>
            <m:sty m:val="p"/>
          </m:rPr>
          <m:t>*</m:t>
        </m:r>
        <m:r>
          <m:rPr>
            <m:sty m:val="p"/>
          </m:rPr>
          <m:t>*</m:t>
        </m:r>
      </m:oMath>
      <w:r>
        <w:rPr>
          <w:b/>
          <w:bCs/>
        </w:rPr>
        <w:t xml:space="preserve">1.3B one-time IEEPA tariff benefit</w:t>
      </w:r>
      <w:r>
        <w:t xml:space="preserve"> </w:t>
      </w:r>
      <w:r>
        <w:t xml:space="preserve">(covering tariffs paid March 2025–Feb 2026);</w:t>
      </w:r>
      <w:r>
        <w:t xml:space="preserve"> </w:t>
      </w:r>
      <w:r>
        <w:rPr>
          <w:b/>
          <w:bCs/>
        </w:rPr>
        <w:t xml:space="preserve">ex-IEEPA, adjusted EBIT was ~$2.2B.</w:t>
      </w:r>
    </w:p>
    <w:p>
      <w:pPr>
        <w:pStyle w:val="Compact"/>
        <w:numPr>
          <w:ilvl w:val="0"/>
          <w:numId w:val="1001"/>
        </w:numPr>
      </w:pPr>
      <w:r>
        <w:rPr>
          <w:b/>
          <w:bCs/>
        </w:rPr>
        <w:t xml:space="preserve">Segments:</w:t>
      </w:r>
      <w:r>
        <w:t xml:space="preserve"> </w:t>
      </w:r>
      <w:r>
        <w:t xml:space="preserve">Ford Blue EBIT</w:t>
      </w:r>
      <w:r>
        <w:t xml:space="preserve"> </w:t>
      </w:r>
      <m:oMath>
        <m:r>
          <m:t>1.9</m:t>
        </m:r>
        <m:r>
          <m:t>B</m:t>
        </m:r>
        <m:r>
          <m:rPr>
            <m:sty m:val="p"/>
          </m:rPr>
          <m:t>*</m:t>
        </m:r>
        <m:r>
          <m:rPr>
            <m:sty m:val="p"/>
          </m:rPr>
          <m:t>*</m:t>
        </m:r>
        <m:r>
          <m:rPr>
            <m:sty m:val="p"/>
          </m:rPr>
          <m:t>(</m:t>
        </m:r>
        <m:r>
          <m:t>8.1</m:t>
        </m:r>
      </m:oMath>
      <w:r>
        <w:rPr>
          <w:b/>
          <w:bCs/>
        </w:rPr>
        <w:t xml:space="preserve">1.7B</w:t>
      </w:r>
      <w:r>
        <w:t xml:space="preserve"> </w:t>
      </w:r>
      <w:r>
        <w:t xml:space="preserve">(11.4% margin, software subs +30% y/y to 879k); Ford Model e loss of</w:t>
      </w:r>
      <w:r>
        <w:t xml:space="preserve"> </w:t>
      </w:r>
      <m:oMath>
        <m:r>
          <m:t>777</m:t>
        </m:r>
        <m:r>
          <m:t>M</m:t>
        </m:r>
        <m:r>
          <m:rPr>
            <m:sty m:val="p"/>
          </m:rPr>
          <m:t>*</m:t>
        </m:r>
        <m:r>
          <m:rPr>
            <m:sty m:val="p"/>
          </m:rPr>
          <m:t>*</m:t>
        </m:r>
        <m:r>
          <m:rPr>
            <m:sty m:val="p"/>
          </m:rPr>
          <m:t>;</m:t>
        </m:r>
        <m:r>
          <m:t>F</m:t>
        </m:r>
        <m:r>
          <m:t>o</m:t>
        </m:r>
        <m:r>
          <m:t>r</m:t>
        </m:r>
        <m:r>
          <m:t>d</m:t>
        </m:r>
        <m:r>
          <m:t>C</m:t>
        </m:r>
        <m:r>
          <m:t>r</m:t>
        </m:r>
        <m:r>
          <m:t>e</m:t>
        </m:r>
        <m:r>
          <m:t>d</m:t>
        </m:r>
        <m:r>
          <m:t>i</m:t>
        </m:r>
        <m:r>
          <m:t>t</m:t>
        </m:r>
        <m:r>
          <m:t>E</m:t>
        </m:r>
        <m:r>
          <m:t>B</m:t>
        </m:r>
        <m:r>
          <m:t>T</m:t>
        </m:r>
        <m:r>
          <m:rPr>
            <m:sty m:val="p"/>
          </m:rPr>
          <m:t>*</m:t>
        </m:r>
        <m:r>
          <m:rPr>
            <m:sty m:val="p"/>
          </m:rPr>
          <m:t>*</m:t>
        </m:r>
      </m:oMath>
      <w:r>
        <w:rPr>
          <w:b/>
          <w:bCs/>
        </w:rPr>
        <w:t xml:space="preserve">783M</w:t>
      </w:r>
      <w:r>
        <w:t xml:space="preserve"> </w:t>
      </w:r>
      <w:r>
        <w:t xml:space="preserve">(+$203M y/y).</w:t>
      </w:r>
    </w:p>
    <w:p>
      <w:pPr>
        <w:pStyle w:val="Compact"/>
        <w:numPr>
          <w:ilvl w:val="0"/>
          <w:numId w:val="1001"/>
        </w:numPr>
      </w:pPr>
      <w:r>
        <w:rPr>
          <w:b/>
          <w:bCs/>
        </w:rPr>
        <w:t xml:space="preserve">FY26 guidance was raised to adjusted EBIT of $8.5–10.5B</w:t>
      </w:r>
      <w:r>
        <w:t xml:space="preserve"> </w:t>
      </w:r>
      <w:r>
        <w:t xml:space="preserve">(from $8.0–10.0B), with FCF of $5–6B and capex of $9.5–10.5B (including $1.5B for Ford Energy). Ford Blue's segment guide was lifted $500M to $4.5–5.0B.</w:t>
      </w:r>
    </w:p>
    <w:p>
      <w:r>
        <w:pict>
          <v:rect style="width:0;height:1.5pt" o:hralign="center" o:hrstd="t" o:hr="t"/>
        </w:pict>
      </w:r>
    </w:p>
    <w:bookmarkEnd w:id="11"/>
    <w:bookmarkStart w:id="12" w:name="X46aa2b14731c95d9555a55ac0dd6d836bb9557c"/>
    <w:p>
      <w:pPr>
        <w:pStyle w:val="Heading2"/>
      </w:pPr>
      <w:r>
        <w:t xml:space="preserve">The key number to frame: expect a sharp sequential step-down</w:t>
      </w:r>
    </w:p>
    <w:p>
      <w:pPr>
        <w:pStyle w:val="FirstParagraph"/>
      </w:pPr>
      <w:r>
        <w:t xml:space="preserve">Management was blunt that Q1 was the high-water mark. The FY midpoint (~$9.5B) less the</w:t>
      </w:r>
      <w:r>
        <w:t xml:space="preserve"> </w:t>
      </w:r>
      <m:oMath>
        <m:r>
          <m:t>3.5</m:t>
        </m:r>
        <m:r>
          <m:t>B</m:t>
        </m:r>
        <m:r>
          <m:t>a</m:t>
        </m:r>
        <m:r>
          <m:t>l</m:t>
        </m:r>
        <m:r>
          <m:t>r</m:t>
        </m:r>
        <m:r>
          <m:t>e</m:t>
        </m:r>
        <m:r>
          <m:t>a</m:t>
        </m:r>
        <m:r>
          <m:t>d</m:t>
        </m:r>
        <m:r>
          <m:t>y</m:t>
        </m:r>
        <m:r>
          <m:t>b</m:t>
        </m:r>
        <m:r>
          <m:t>o</m:t>
        </m:r>
        <m:r>
          <m:t>o</m:t>
        </m:r>
        <m:r>
          <m:t>k</m:t>
        </m:r>
        <m:r>
          <m:t>e</m:t>
        </m:r>
        <m:r>
          <m:t>d</m:t>
        </m:r>
        <m:r>
          <m:t>l</m:t>
        </m:r>
        <m:r>
          <m:t>e</m:t>
        </m:r>
        <m:r>
          <m:t>a</m:t>
        </m:r>
        <m:r>
          <m:t>v</m:t>
        </m:r>
        <m:r>
          <m:t>e</m:t>
        </m:r>
        <m:r>
          <m:t>s</m:t>
        </m:r>
        <m:r>
          <m:rPr>
            <m:sty m:val="p"/>
          </m:rPr>
          <m:t>*</m:t>
        </m:r>
        <m:r>
          <m:rPr>
            <m:sty m:val="p"/>
          </m:rPr>
          <m:t>*</m:t>
        </m:r>
        <m:r>
          <m:t> </m:t>
        </m:r>
      </m:oMath>
      <w:r>
        <w:t xml:space="preserve">6B across the final three quarters**, and the CFO said the cadence is "</w:t>
      </w:r>
      <w:r>
        <w:rPr>
          <w:b/>
          <w:bCs/>
        </w:rPr>
        <w:t xml:space="preserve">fairly consistent … Q2, Q3, and Q4</w:t>
      </w:r>
      <w:r>
        <w:t xml:space="preserve">." That implies</w:t>
      </w:r>
      <w:r>
        <w:t xml:space="preserve"> </w:t>
      </w:r>
      <w:r>
        <w:rPr>
          <w:b/>
          <w:bCs/>
        </w:rPr>
        <w:t xml:space="preserve">Q2 adjusted EBIT of roughly ~$2B</w:t>
      </w:r>
      <w:r>
        <w:t xml:space="preserve"> </w:t>
      </w:r>
      <w:r>
        <w:t xml:space="preserve">— down ~40% sequentially — with the swing factors being:</w:t>
      </w:r>
    </w:p>
    <w:p>
      <w:pPr>
        <w:pStyle w:val="BodyText"/>
      </w:pPr>
      <w:r>
        <w:rPr>
          <w:b/>
          <w:bCs/>
        </w:rPr>
        <w:t xml:space="preserve">Headwinds vs. Q1</w:t>
      </w:r>
    </w:p>
    <w:p>
      <w:pPr>
        <w:pStyle w:val="Compact"/>
        <w:numPr>
          <w:ilvl w:val="0"/>
          <w:numId w:val="1002"/>
        </w:numPr>
      </w:pPr>
      <w:r>
        <w:rPr>
          <w:b/>
          <w:bCs/>
        </w:rPr>
        <w:t xml:space="preserve">No repeat of the $1.3B IEEPA benefit.</w:t>
      </w:r>
    </w:p>
    <w:p>
      <w:pPr>
        <w:pStyle w:val="Compact"/>
        <w:numPr>
          <w:ilvl w:val="0"/>
          <w:numId w:val="1002"/>
        </w:numPr>
      </w:pPr>
      <w:r>
        <w:rPr>
          <w:b/>
          <w:bCs/>
        </w:rPr>
        <w:t xml:space="preserve">Commodities worsen into 2H</w:t>
      </w:r>
      <w:r>
        <w:t xml:space="preserve"> </w:t>
      </w:r>
      <w:r>
        <w:t xml:space="preserve">— FY commodity headwind was raised to ~</w:t>
      </w:r>
      <m:oMath>
        <m:r>
          <m:t>2</m:t>
        </m:r>
        <m:r>
          <m:t>B</m:t>
        </m:r>
        <m:r>
          <m:rPr>
            <m:sty m:val="p"/>
          </m:rPr>
          <m:t>(</m:t>
        </m:r>
        <m:r>
          <m:t>u</m:t>
        </m:r>
        <m:r>
          <m:t>p</m:t>
        </m:r>
        <m:r>
          <m:t> </m:t>
        </m:r>
      </m:oMath>
      <w:r>
        <w:t xml:space="preserve">1B), led by aluminum, and the guide assumes prices</w:t>
      </w:r>
      <w:r>
        <w:t xml:space="preserve"> </w:t>
      </w:r>
      <w:r>
        <w:rPr>
          <w:i/>
          <w:iCs/>
        </w:rPr>
        <w:t xml:space="preserve">stay elevated</w:t>
      </w:r>
      <w:r>
        <w:t xml:space="preserve"> </w:t>
      </w:r>
      <w:r>
        <w:t xml:space="preserve">(a tailwind only if they fall).</w:t>
      </w:r>
    </w:p>
    <w:p>
      <w:pPr>
        <w:pStyle w:val="Compact"/>
        <w:numPr>
          <w:ilvl w:val="0"/>
          <w:numId w:val="1002"/>
        </w:numPr>
      </w:pPr>
      <w:r>
        <w:rPr>
          <w:b/>
          <w:bCs/>
        </w:rPr>
        <w:t xml:space="preserve">Higher launch investment</w:t>
      </w:r>
      <w:r>
        <w:t xml:space="preserve"> </w:t>
      </w:r>
      <w:r>
        <w:t xml:space="preserve">— the incremental ~$1B Model e spend on the Universal EV (UEV) platform, Ford Energy, and the Oakville launch steps up through the back half.</w:t>
      </w:r>
    </w:p>
    <w:p>
      <w:pPr>
        <w:pStyle w:val="FirstParagraph"/>
      </w:pPr>
      <w:r>
        <w:rPr>
          <w:b/>
          <w:bCs/>
        </w:rPr>
        <w:t xml:space="preserve">Tailwinds vs. Q1</w:t>
      </w:r>
    </w:p>
    <w:p>
      <w:pPr>
        <w:pStyle w:val="Compact"/>
        <w:numPr>
          <w:ilvl w:val="0"/>
          <w:numId w:val="1003"/>
        </w:numPr>
      </w:pPr>
      <w:r>
        <w:rPr>
          <w:b/>
          <w:bCs/>
        </w:rPr>
        <w:t xml:space="preserve">Novelis recovery</w:t>
      </w:r>
      <w:r>
        <w:t xml:space="preserve"> </w:t>
      </w:r>
      <w:r>
        <w:t xml:space="preserve">— net ~$1B improvement, weighted to 2H, as the aluminum hot mill restarts (expected May) and F-Series supply recovers; management expressed "high" confidence with contingency aluminum supply in place.</w:t>
      </w:r>
    </w:p>
    <w:p>
      <w:pPr>
        <w:pStyle w:val="Compact"/>
        <w:numPr>
          <w:ilvl w:val="0"/>
          <w:numId w:val="1003"/>
        </w:numPr>
      </w:pPr>
      <w:r>
        <w:rPr>
          <w:b/>
          <w:bCs/>
        </w:rPr>
        <w:t xml:space="preserve">Software &amp; physical services</w:t>
      </w:r>
      <w:r>
        <w:t xml:space="preserve"> </w:t>
      </w:r>
      <w:r>
        <w:t xml:space="preserve">— a ~$15B revenue base management expects to grow ~8%/yr, high-margin and counter-cyclical.</w:t>
      </w:r>
    </w:p>
    <w:p>
      <w:pPr>
        <w:pStyle w:val="Compact"/>
        <w:numPr>
          <w:ilvl w:val="0"/>
          <w:numId w:val="1003"/>
        </w:numPr>
      </w:pPr>
      <w:r>
        <w:rPr>
          <w:b/>
          <w:bCs/>
        </w:rPr>
        <w:t xml:space="preserve">Continued cost work</w:t>
      </w:r>
      <w:r>
        <w:t xml:space="preserve"> </w:t>
      </w:r>
      <w:r>
        <w:t xml:space="preserve">— on track for ~$1B of material/warranty savings on top of $1.5B delivered in 2025.</w:t>
      </w:r>
    </w:p>
    <w:p>
      <w:r>
        <w:pict>
          <v:rect style="width:0;height:1.5pt" o:hralign="center" o:hrstd="t" o:hr="t"/>
        </w:pict>
      </w:r>
    </w:p>
    <w:bookmarkEnd w:id="12"/>
    <w:bookmarkStart w:id="13" w:name="what-to-watch-on-the-print"/>
    <w:p>
      <w:pPr>
        <w:pStyle w:val="Heading2"/>
      </w:pPr>
      <w:r>
        <w:t xml:space="preserve">What to watch on the print</w:t>
      </w:r>
    </w:p>
    <w:p>
      <w:pPr>
        <w:pStyle w:val="FirstParagraph"/>
      </w:pPr>
      <w:r>
        <w:rPr>
          <w:b/>
          <w:bCs/>
        </w:rPr>
        <w:t xml:space="preserve">1. Volume — is Q2 the trough?</w:t>
      </w:r>
      <w:r>
        <w:t xml:space="preserve"> </w:t>
      </w:r>
      <w:r>
        <w:t xml:space="preserve">Ford's July 2 U.S. sales release already showed</w:t>
      </w:r>
      <w:r>
        <w:t xml:space="preserve"> </w:t>
      </w:r>
      <w:r>
        <w:rPr>
          <w:b/>
          <w:bCs/>
        </w:rPr>
        <w:t xml:space="preserve">total Q2 sales down ~10% to 549,200 units</w:t>
      </w:r>
      <w:r>
        <w:t xml:space="preserve">, with F-Series down ~11% (a</w:t>
      </w:r>
      <w:r>
        <w:t xml:space="preserve"> </w:t>
      </w:r>
      <w:r>
        <w:rPr>
          <w:i/>
          <w:iCs/>
        </w:rPr>
        <w:t xml:space="preserve">retiming</w:t>
      </w:r>
      <w:r>
        <w:t xml:space="preserve"> </w:t>
      </w:r>
      <w:r>
        <w:t xml:space="preserve">of commercial production after the aluminum shortage, not lost demand) and EV sales down ~41%. Crucially, Ford said that</w:t>
      </w:r>
      <w:r>
        <w:t xml:space="preserve"> </w:t>
      </w:r>
      <w:r>
        <w:rPr>
          <w:b/>
          <w:bCs/>
        </w:rPr>
        <w:t xml:space="preserve">excluding model phase-outs (Escape/Corsair) and assuming flat rental, Q2 sales would have risen ~0.5%</w:t>
      </w:r>
      <w:r>
        <w:t xml:space="preserve">, and the mix was rich: record Bronco and Maverick Hybrid quarters, Explorer +21% first-half, off-road trims ~24% of mix. The read-through: reported volume looks ugly, but</w:t>
      </w:r>
      <w:r>
        <w:t xml:space="preserve"> </w:t>
      </w:r>
      <w:r>
        <w:rPr>
          <w:b/>
          <w:bCs/>
        </w:rPr>
        <w:t xml:space="preserve">mix and pricing should hold up margins</w:t>
      </w:r>
      <w:r>
        <w:t xml:space="preserve"> </w:t>
      </w:r>
      <w:r>
        <w:t xml:space="preserve">— watch for confirmation that F-Series volume rebuilds in H2.</w:t>
      </w:r>
    </w:p>
    <w:p>
      <w:pPr>
        <w:pStyle w:val="BodyText"/>
      </w:pPr>
      <w:r>
        <w:rPr>
          <w:b/>
          <w:bCs/>
        </w:rPr>
        <w:t xml:space="preserve">2. Does guidance get raised again?</w:t>
      </w:r>
      <w:r>
        <w:t xml:space="preserve"> </w:t>
      </w:r>
      <w:r>
        <w:t xml:space="preserve">This is the swing factor for the stock. Ford raised twice-effectively at Q1. A further raise (or a narrowing to the upper half) would validate the Jefferies "trough + raise" thesis; a reiteration with heavier commodity/investment caveats could disappoint after the run-up. Watch the puts-and-takes on the</w:t>
      </w:r>
      <w:r>
        <w:t xml:space="preserve"> </w:t>
      </w:r>
      <m:oMath>
        <m:r>
          <m:t>2</m:t>
        </m:r>
        <m:r>
          <m:t>B</m:t>
        </m:r>
        <m:r>
          <m:t>c</m:t>
        </m:r>
        <m:r>
          <m:t>o</m:t>
        </m:r>
        <m:r>
          <m:t>m</m:t>
        </m:r>
        <m:r>
          <m:t>m</m:t>
        </m:r>
        <m:r>
          <m:t>o</m:t>
        </m:r>
        <m:r>
          <m:t>d</m:t>
        </m:r>
        <m:r>
          <m:t>i</m:t>
        </m:r>
        <m:r>
          <m:t>t</m:t>
        </m:r>
        <m:r>
          <m:t>y</m:t>
        </m:r>
        <m:r>
          <m:t>h</m:t>
        </m:r>
        <m:r>
          <m:t>e</m:t>
        </m:r>
        <m:r>
          <m:t>a</m:t>
        </m:r>
        <m:r>
          <m:t>d</m:t>
        </m:r>
        <m:r>
          <m:t>w</m:t>
        </m:r>
        <m:r>
          <m:t>i</m:t>
        </m:r>
        <m:r>
          <m:t>n</m:t>
        </m:r>
        <m:r>
          <m:t>d</m:t>
        </m:r>
        <m:r>
          <m:rPr>
            <m:sty m:val="p"/>
          </m:rPr>
          <m:t>*</m:t>
        </m:r>
        <m:r>
          <m:rPr>
            <m:sty m:val="p"/>
          </m:rPr>
          <m:t>*</m:t>
        </m:r>
        <m:r>
          <m:rPr>
            <m:sty m:val="p"/>
          </m:rPr>
          <m:t>(</m:t>
        </m:r>
        <m:r>
          <m:t>a</m:t>
        </m:r>
        <m:r>
          <m:t>n</m:t>
        </m:r>
        <m:r>
          <m:t>y</m:t>
        </m:r>
        <m:r>
          <m:t>r</m:t>
        </m:r>
        <m:r>
          <m:t>e</m:t>
        </m:r>
        <m:r>
          <m:t>l</m:t>
        </m:r>
        <m:r>
          <m:t>i</m:t>
        </m:r>
        <m:r>
          <m:t>e</m:t>
        </m:r>
        <m:r>
          <m:t>f</m:t>
        </m:r>
        <m:r>
          <m:t>i</m:t>
        </m:r>
        <m:r>
          <m:t>f</m:t>
        </m:r>
        <m:r>
          <m:t>a</m:t>
        </m:r>
        <m:r>
          <m:t>l</m:t>
        </m:r>
        <m:r>
          <m:t>u</m:t>
        </m:r>
        <m:r>
          <m:t>m</m:t>
        </m:r>
        <m:r>
          <m:t>i</m:t>
        </m:r>
        <m:r>
          <m:t>n</m:t>
        </m:r>
        <m:r>
          <m:t>u</m:t>
        </m:r>
        <m:r>
          <m:t>m</m:t>
        </m:r>
        <m:r>
          <m:rPr>
            <m:sty m:val="p"/>
          </m:rPr>
          <m:t>/</m:t>
        </m:r>
        <m:r>
          <m:t>s</m:t>
        </m:r>
        <m:r>
          <m:t>t</m:t>
        </m:r>
        <m:r>
          <m:t>e</m:t>
        </m:r>
        <m:r>
          <m:t>e</m:t>
        </m:r>
        <m:r>
          <m:t>l</m:t>
        </m:r>
        <m:r>
          <m:t>e</m:t>
        </m:r>
        <m:r>
          <m:t>a</m:t>
        </m:r>
        <m:r>
          <m:t>s</m:t>
        </m:r>
        <m:r>
          <m:t>e</m:t>
        </m:r>
        <m:r>
          <m:rPr>
            <m:sty m:val="p"/>
          </m:rPr>
          <m:t>)</m:t>
        </m:r>
        <m:r>
          <m:t>a</m:t>
        </m:r>
        <m:r>
          <m:t>n</m:t>
        </m:r>
        <m:r>
          <m:t>d</m:t>
        </m:r>
        <m:r>
          <m:rPr>
            <m:sty m:val="p"/>
          </m:rPr>
          <m:t>*</m:t>
        </m:r>
        <m:r>
          <m:rPr>
            <m:sty m:val="p"/>
          </m:rPr>
          <m:t>*</m:t>
        </m:r>
        <m:r>
          <m:t>t</m:t>
        </m:r>
        <m:r>
          <m:t>a</m:t>
        </m:r>
        <m:r>
          <m:t>r</m:t>
        </m:r>
        <m:r>
          <m:t>i</m:t>
        </m:r>
        <m:r>
          <m:t>f</m:t>
        </m:r>
        <m:r>
          <m:t>f</m:t>
        </m:r>
        <m:r>
          <m:t>r</m:t>
        </m:r>
        <m:r>
          <m:t>u</m:t>
        </m:r>
        <m:r>
          <m:t>n</m:t>
        </m:r>
        <m:r>
          <m:rPr>
            <m:sty m:val="p"/>
          </m:rPr>
          <m:t>−</m:t>
        </m:r>
        <m:r>
          <m:t>r</m:t>
        </m:r>
        <m:r>
          <m:t>a</m:t>
        </m:r>
        <m:r>
          <m:t>t</m:t>
        </m:r>
        <m:r>
          <m:t>e</m:t>
        </m:r>
        <m:r>
          <m:rPr>
            <m:sty m:val="p"/>
          </m:rPr>
          <m:t>(</m:t>
        </m:r>
        <m:r>
          <m:t> </m:t>
        </m:r>
      </m:oMath>
      <w:r>
        <w:rPr>
          <w:b/>
          <w:bCs/>
        </w:rPr>
        <w:t xml:space="preserve">1B)</w:t>
      </w:r>
      <w:r>
        <w:t xml:space="preserve">.</w:t>
      </w:r>
    </w:p>
    <w:p>
      <w:pPr>
        <w:pStyle w:val="BodyText"/>
      </w:pPr>
      <w:r>
        <w:rPr>
          <w:b/>
          <w:bCs/>
        </w:rPr>
        <w:t xml:space="preserve">3. Segment quality.</w:t>
      </w:r>
      <w:r>
        <w:t xml:space="preserve"> </w:t>
      </w:r>
      <w:r>
        <w:t xml:space="preserve">Ford Blue ex-IEEPA run-rate (Q1 was ~$1.2B underlying); Ford Pro margins (can it hold double-digits with software subs now &gt;900k?); and Model e — Q1 was flagged as its</w:t>
      </w:r>
      <w:r>
        <w:t xml:space="preserve"> </w:t>
      </w:r>
      <w:r>
        <w:rPr>
          <w:i/>
          <w:iCs/>
        </w:rPr>
        <w:t xml:space="preserve">strongest</w:t>
      </w:r>
      <w:r>
        <w:t xml:space="preserve"> </w:t>
      </w:r>
      <w:r>
        <w:t xml:space="preserve">quarter this year, so expect a</w:t>
      </w:r>
      <w:r>
        <w:t xml:space="preserve"> </w:t>
      </w:r>
      <w:r>
        <w:rPr>
          <w:b/>
          <w:bCs/>
        </w:rPr>
        <w:t xml:space="preserve">wider loss</w:t>
      </w:r>
      <w:r>
        <w:t xml:space="preserve"> </w:t>
      </w:r>
      <w:r>
        <w:t xml:space="preserve">as UEV/Energy spend ramps toward the $4.0–4.5B full-year loss.</w:t>
      </w:r>
    </w:p>
    <w:p>
      <w:pPr>
        <w:pStyle w:val="BodyText"/>
      </w:pPr>
      <w:r>
        <w:rPr>
          <w:b/>
          <w:bCs/>
        </w:rPr>
        <w:t xml:space="preserve">4. Free cash flow &amp; capital returns.</w:t>
      </w:r>
      <w:r>
        <w:t xml:space="preserve"> </w:t>
      </w:r>
      <w:r>
        <w:t xml:space="preserve">Q1 was a $1.9B</w:t>
      </w:r>
      <w:r>
        <w:t xml:space="preserve"> </w:t>
      </w:r>
      <w:r>
        <w:rPr>
          <w:i/>
          <w:iCs/>
        </w:rPr>
        <w:t xml:space="preserve">use</w:t>
      </w:r>
      <w:r>
        <w:t xml:space="preserve"> </w:t>
      </w:r>
      <w:r>
        <w:t xml:space="preserve">of cash (seasonal working capital + investment). FY FCF guide of $5–6B requires a big H2 reversal, and the $1.3B tariff refund timing was deliberately excluded. Watch for: the **regular</w:t>
      </w:r>
      <w:r>
        <w:t xml:space="preserve"> </w:t>
      </w:r>
      <m:oMath>
        <m:r>
          <m:t>0.15</m:t>
        </m:r>
        <m:r>
          <m:t>q</m:t>
        </m:r>
        <m:r>
          <m:t>u</m:t>
        </m:r>
        <m:r>
          <m:t>a</m:t>
        </m:r>
        <m:r>
          <m:t>r</m:t>
        </m:r>
        <m:r>
          <m:t>t</m:t>
        </m:r>
        <m:r>
          <m:t>e</m:t>
        </m:r>
        <m:r>
          <m:t>r</m:t>
        </m:r>
        <m:r>
          <m:t>l</m:t>
        </m:r>
        <m:r>
          <m:t>y</m:t>
        </m:r>
        <m:r>
          <m:t>d</m:t>
        </m:r>
        <m:r>
          <m:t>i</m:t>
        </m:r>
        <m:r>
          <m:t>v</m:t>
        </m:r>
        <m:r>
          <m:t>i</m:t>
        </m:r>
        <m:r>
          <m:t>d</m:t>
        </m:r>
        <m:r>
          <m:t>e</m:t>
        </m:r>
        <m:r>
          <m:t>n</m:t>
        </m:r>
        <m:r>
          <m:t>d</m:t>
        </m:r>
        <m:r>
          <m:rPr>
            <m:sty m:val="p"/>
          </m:rPr>
          <m:t>*</m:t>
        </m:r>
        <m:r>
          <m:rPr>
            <m:sty m:val="p"/>
          </m:rPr>
          <m:t>*</m:t>
        </m:r>
        <m:r>
          <m:rPr>
            <m:sty m:val="p"/>
          </m:rPr>
          <m:t>,</m:t>
        </m:r>
        <m:r>
          <m:t>a</m:t>
        </m:r>
        <m:r>
          <m:t>n</m:t>
        </m:r>
        <m:r>
          <m:t>y</m:t>
        </m:r>
        <m:r>
          <m:t>c</m:t>
        </m:r>
        <m:r>
          <m:t>o</m:t>
        </m:r>
        <m:r>
          <m:t>m</m:t>
        </m:r>
        <m:r>
          <m:t>m</m:t>
        </m:r>
        <m:r>
          <m:t>e</m:t>
        </m:r>
        <m:r>
          <m:t>n</m:t>
        </m:r>
        <m:r>
          <m:t>t</m:t>
        </m:r>
        <m:r>
          <m:t>a</m:t>
        </m:r>
        <m:r>
          <m:t>r</m:t>
        </m:r>
        <m:r>
          <m:t>y</m:t>
        </m:r>
        <m:r>
          <m:t>o</m:t>
        </m:r>
        <m:r>
          <m:t>n</m:t>
        </m:r>
        <m:r>
          <m:t>a</m:t>
        </m:r>
        <m:r>
          <m:rPr>
            <m:sty m:val="p"/>
          </m:rPr>
          <m:t>*</m:t>
        </m:r>
        <m:r>
          <m:rPr>
            <m:sty m:val="p"/>
          </m:rPr>
          <m:t>*</m:t>
        </m:r>
        <m:r>
          <m:t>s</m:t>
        </m:r>
        <m:r>
          <m:t>u</m:t>
        </m:r>
        <m:r>
          <m:t>p</m:t>
        </m:r>
        <m:r>
          <m:t>p</m:t>
        </m:r>
        <m:r>
          <m:t>l</m:t>
        </m:r>
        <m:r>
          <m:t>e</m:t>
        </m:r>
        <m:r>
          <m:t>m</m:t>
        </m:r>
        <m:r>
          <m:t>e</m:t>
        </m:r>
        <m:r>
          <m:t>n</m:t>
        </m:r>
        <m:r>
          <m:t>t</m:t>
        </m:r>
        <m:r>
          <m:t>a</m:t>
        </m:r>
        <m:r>
          <m:t>l</m:t>
        </m:r>
        <m:r>
          <m:t>d</m:t>
        </m:r>
        <m:r>
          <m:t>i</m:t>
        </m:r>
        <m:r>
          <m:t>v</m:t>
        </m:r>
        <m:r>
          <m:t>i</m:t>
        </m:r>
        <m:r>
          <m:t>d</m:t>
        </m:r>
        <m:r>
          <m:t>e</m:t>
        </m:r>
        <m:r>
          <m:t>n</m:t>
        </m:r>
        <m:r>
          <m:t>d</m:t>
        </m:r>
        <m:r>
          <m:rPr>
            <m:sty m:val="p"/>
          </m:rPr>
          <m:t>*</m:t>
        </m:r>
        <m:r>
          <m:rPr>
            <m:sty m:val="p"/>
          </m:rPr>
          <m:t>*</m:t>
        </m:r>
        <m:r>
          <m:rPr>
            <m:sty m:val="p"/>
          </m:rPr>
          <m:t>(</m:t>
        </m:r>
        <m:r>
          <m:t>a</m:t>
        </m:r>
        <m:r>
          <m:t>k</m:t>
        </m:r>
        <m:r>
          <m:t>e</m:t>
        </m:r>
        <m:r>
          <m:t>y</m:t>
        </m:r>
        <m:r>
          <m:t>p</m:t>
        </m:r>
        <m:r>
          <m:t>a</m:t>
        </m:r>
        <m:r>
          <m:t>y</m:t>
        </m:r>
        <m:r>
          <m:t>o</m:t>
        </m:r>
        <m:r>
          <m:t>u</m:t>
        </m:r>
        <m:r>
          <m:t>t</m:t>
        </m:r>
        <m:r>
          <m:t>d</m:t>
        </m:r>
        <m:r>
          <m:t>e</m:t>
        </m:r>
        <m:r>
          <m:t>b</m:t>
        </m:r>
        <m:r>
          <m:t>a</m:t>
        </m:r>
        <m:r>
          <m:t>t</m:t>
        </m:r>
        <m:r>
          <m:t>e</m:t>
        </m:r>
        <m:r>
          <m:t>g</m:t>
        </m:r>
        <m:r>
          <m:t>i</m:t>
        </m:r>
        <m:r>
          <m:t>v</m:t>
        </m:r>
        <m:r>
          <m:t>e</m:t>
        </m:r>
        <m:r>
          <m:t>n</m:t>
        </m:r>
        <m:r>
          <m:t>t</m:t>
        </m:r>
        <m:r>
          <m:t>h</m:t>
        </m:r>
        <m:r>
          <m:t>e</m:t>
        </m:r>
        <m:r>
          <m:t>b</m:t>
        </m:r>
        <m:r>
          <m:t>u</m:t>
        </m:r>
        <m:r>
          <m:t>y</m:t>
        </m:r>
        <m:r>
          <m:t>b</m:t>
        </m:r>
        <m:r>
          <m:t>a</m:t>
        </m:r>
        <m:r>
          <m:t>c</m:t>
        </m:r>
        <m:r>
          <m:t>k</m:t>
        </m:r>
        <m:r>
          <m:t>w</m:t>
        </m:r>
        <m:r>
          <m:t>a</m:t>
        </m:r>
        <m:r>
          <m:t>s</m:t>
        </m:r>
        <m:r>
          <m:t>d</m:t>
        </m:r>
        <m:r>
          <m:t>e</m:t>
        </m:r>
        <m:r>
          <m:t>s</m:t>
        </m:r>
        <m:r>
          <m:t>c</m:t>
        </m:r>
        <m:r>
          <m:t>r</m:t>
        </m:r>
        <m:r>
          <m:t>i</m:t>
        </m:r>
        <m:r>
          <m:t>b</m:t>
        </m:r>
        <m:r>
          <m:t>e</m:t>
        </m:r>
        <m:r>
          <m:t>d</m:t>
        </m:r>
        <m:r>
          <m:t>a</m:t>
        </m:r>
        <m:r>
          <m:t>s</m:t>
        </m:r>
        <m:r>
          <m:t>m</m:t>
        </m:r>
        <m:r>
          <m:t>e</m:t>
        </m:r>
        <m:r>
          <m:t>r</m:t>
        </m:r>
        <m:r>
          <m:t>e</m:t>
        </m:r>
        <m:r>
          <m:t>l</m:t>
        </m:r>
        <m:r>
          <m:t>y</m:t>
        </m:r>
        <m:r>
          <m:t>a</m:t>
        </m:r>
        <m:r>
          <m:t>n</m:t>
        </m:r>
        <m:r>
          <m:t>t</m:t>
        </m:r>
        <m:r>
          <m:t>i</m:t>
        </m:r>
        <m:r>
          <m:rPr>
            <m:sty m:val="p"/>
          </m:rPr>
          <m:t>−</m:t>
        </m:r>
        <m:r>
          <m:t>d</m:t>
        </m:r>
        <m:r>
          <m:t>i</m:t>
        </m:r>
        <m:r>
          <m:t>l</m:t>
        </m:r>
        <m:r>
          <m:t>u</m:t>
        </m:r>
        <m:r>
          <m:t>t</m:t>
        </m:r>
        <m:r>
          <m:t>i</m:t>
        </m:r>
        <m:r>
          <m:t>v</m:t>
        </m:r>
        <m:r>
          <m:t>e</m:t>
        </m:r>
        <m:r>
          <m:rPr>
            <m:sty m:val="p"/>
          </m:rPr>
          <m:t>)</m:t>
        </m:r>
        <m:r>
          <m:rPr>
            <m:sty m:val="p"/>
          </m:rPr>
          <m:t>,</m:t>
        </m:r>
        <m:r>
          <m:t>a</m:t>
        </m:r>
        <m:r>
          <m:t>n</m:t>
        </m:r>
        <m:r>
          <m:t>d</m:t>
        </m:r>
        <m:r>
          <m:t>b</m:t>
        </m:r>
        <m:r>
          <m:t>a</m:t>
        </m:r>
        <m:r>
          <m:t>l</m:t>
        </m:r>
        <m:r>
          <m:t>a</m:t>
        </m:r>
        <m:r>
          <m:t>n</m:t>
        </m:r>
        <m:r>
          <m:t>c</m:t>
        </m:r>
        <m:r>
          <m:t>e</m:t>
        </m:r>
        <m:r>
          <m:rPr>
            <m:sty m:val="p"/>
          </m:rPr>
          <m:t>−</m:t>
        </m:r>
        <m:r>
          <m:t>s</m:t>
        </m:r>
        <m:r>
          <m:t>h</m:t>
        </m:r>
        <m:r>
          <m:t>e</m:t>
        </m:r>
        <m:r>
          <m:t>e</m:t>
        </m:r>
        <m:r>
          <m:t>t</m:t>
        </m:r>
        <m:r>
          <m:t>s</m:t>
        </m:r>
        <m:r>
          <m:t>t</m:t>
        </m:r>
        <m:r>
          <m:t>r</m:t>
        </m:r>
        <m:r>
          <m:t>e</m:t>
        </m:r>
        <m:r>
          <m:t>n</m:t>
        </m:r>
        <m:r>
          <m:t>g</m:t>
        </m:r>
        <m:r>
          <m:t>t</m:t>
        </m:r>
        <m:r>
          <m:t>h</m:t>
        </m:r>
        <m:r>
          <m:rPr>
            <m:sty m:val="p"/>
          </m:rPr>
          <m:t>(</m:t>
        </m:r>
      </m:oMath>
      <w:r>
        <w:t xml:space="preserve">22B cash / $43B liquidity, IG rating commitment).</w:t>
      </w:r>
    </w:p>
    <w:p>
      <w:pPr>
        <w:pStyle w:val="BodyText"/>
      </w:pPr>
      <w:r>
        <w:rPr>
          <w:b/>
          <w:bCs/>
        </w:rPr>
        <w:t xml:space="preserve">5. Strategic catalysts / narrative.</w:t>
      </w:r>
      <w:r>
        <w:t xml:space="preserve"> </w:t>
      </w:r>
      <w:r>
        <w:t xml:space="preserve">Lots of newsflow to address on the call:</w:t>
      </w:r>
    </w:p>
    <w:p>
      <w:pPr>
        <w:pStyle w:val="Compact"/>
        <w:numPr>
          <w:ilvl w:val="0"/>
          <w:numId w:val="1004"/>
        </w:numPr>
      </w:pPr>
      <w:r>
        <w:rPr>
          <w:b/>
          <w:bCs/>
        </w:rPr>
        <w:t xml:space="preserve">Universal EV platform</w:t>
      </w:r>
      <w:r>
        <w:t xml:space="preserve"> </w:t>
      </w:r>
      <w:r>
        <w:t xml:space="preserve">— first vehicle (an affordable mid-size electric pickup) from Louisville in 2027; a ~$5B bet, ~350 engineers in Long Beach. Any hard data on order timing/demand or cost targets moves the model.</w:t>
      </w:r>
    </w:p>
    <w:p>
      <w:pPr>
        <w:pStyle w:val="Compact"/>
        <w:numPr>
          <w:ilvl w:val="0"/>
          <w:numId w:val="1004"/>
        </w:numPr>
      </w:pPr>
      <w:r>
        <w:rPr>
          <w:b/>
          <w:bCs/>
        </w:rPr>
        <w:t xml:space="preserve">Ford Energy</w:t>
      </w:r>
      <w:r>
        <w:t xml:space="preserve"> </w:t>
      </w:r>
      <w:r>
        <w:t xml:space="preserve">— 20+ GWh, launching Q4 2027; Street pegs ~$500M of operating profit potential by decade-end. Ford also just formed a utility-scale energy-storage business.</w:t>
      </w:r>
    </w:p>
    <w:p>
      <w:pPr>
        <w:pStyle w:val="Compact"/>
        <w:numPr>
          <w:ilvl w:val="0"/>
          <w:numId w:val="1004"/>
        </w:numPr>
      </w:pPr>
      <w:r>
        <w:rPr>
          <w:b/>
          <w:bCs/>
        </w:rPr>
        <w:t xml:space="preserve">China/Europe</w:t>
      </w:r>
      <w:r>
        <w:t xml:space="preserve"> </w:t>
      </w:r>
      <w:r>
        <w:t xml:space="preserve">— a new</w:t>
      </w:r>
      <w:r>
        <w:t xml:space="preserve"> </w:t>
      </w:r>
      <w:r>
        <w:rPr>
          <w:b/>
          <w:bCs/>
        </w:rPr>
        <w:t xml:space="preserve">Geely JV</w:t>
      </w:r>
      <w:r>
        <w:t xml:space="preserve"> </w:t>
      </w:r>
      <w:r>
        <w:t xml:space="preserve">to build EVs at Ford's Valencia, Spain plant (66% Ford / ~34% Geely, production 2028) and the</w:t>
      </w:r>
      <w:r>
        <w:t xml:space="preserve"> </w:t>
      </w:r>
      <w:r>
        <w:rPr>
          <w:b/>
          <w:bCs/>
        </w:rPr>
        <w:t xml:space="preserve">Renault</w:t>
      </w:r>
      <w:r>
        <w:t xml:space="preserve"> </w:t>
      </w:r>
      <w:r>
        <w:t xml:space="preserve">commercial/passenger partnership.</w:t>
      </w:r>
    </w:p>
    <w:p>
      <w:pPr>
        <w:pStyle w:val="Compact"/>
        <w:numPr>
          <w:ilvl w:val="0"/>
          <w:numId w:val="1004"/>
        </w:numPr>
      </w:pPr>
      <w:r>
        <w:rPr>
          <w:b/>
          <w:bCs/>
        </w:rPr>
        <w:t xml:space="preserve">Defense/onshoring</w:t>
      </w:r>
      <w:r>
        <w:t xml:space="preserve"> </w:t>
      </w:r>
      <w:r>
        <w:t xml:space="preserve">— Ford is reportedly bidding on a</w:t>
      </w:r>
      <w:r>
        <w:t xml:space="preserve"> </w:t>
      </w:r>
      <w:r>
        <w:rPr>
          <w:b/>
          <w:bCs/>
        </w:rPr>
        <w:t xml:space="preserve">U.S. Army tactical truck</w:t>
      </w:r>
      <w:r>
        <w:t xml:space="preserve"> </w:t>
      </w:r>
      <w:r>
        <w:t xml:space="preserve">based on the F-Series, and has signed a long-term</w:t>
      </w:r>
      <w:r>
        <w:t xml:space="preserve"> </w:t>
      </w:r>
      <w:r>
        <w:rPr>
          <w:b/>
          <w:bCs/>
        </w:rPr>
        <w:t xml:space="preserve">Micron</w:t>
      </w:r>
      <w:r>
        <w:t xml:space="preserve"> </w:t>
      </w:r>
      <w:r>
        <w:t xml:space="preserve">memory supply deal — both feed the "national champion / industrial base" narrative Farley is leaning into.</w:t>
      </w:r>
    </w:p>
    <w:p>
      <w:pPr>
        <w:pStyle w:val="FirstParagraph"/>
      </w:pPr>
      <w:r>
        <w:rPr>
          <w:b/>
          <w:bCs/>
        </w:rPr>
        <w:t xml:space="preserve">6. Quality.</w:t>
      </w:r>
      <w:r>
        <w:t xml:space="preserve"> </w:t>
      </w:r>
      <w:r>
        <w:t xml:space="preserve">Farley reiterated in early July that Ford is targeting "flawless" launches after years of recall/warranty drag. Warranty is a recurring EBIT swing factor — watch for continued improvement.</w:t>
      </w:r>
    </w:p>
    <w:p>
      <w:r>
        <w:pict>
          <v:rect style="width:0;height:1.5pt" o:hralign="center" o:hrstd="t" o:hr="t"/>
        </w:pict>
      </w:r>
    </w:p>
    <w:bookmarkEnd w:id="13"/>
    <w:bookmarkStart w:id="14" w:name="bull-vs-bear-into-the-number"/>
    <w:p>
      <w:pPr>
        <w:pStyle w:val="Heading2"/>
      </w:pPr>
      <w:r>
        <w:t xml:space="preserve">Bull vs. bear into the number</w:t>
      </w:r>
    </w:p>
    <w:p>
      <w:pPr>
        <w:pStyle w:val="FirstParagraph"/>
      </w:pPr>
      <w:r>
        <w:rPr>
          <w:b/>
          <w:bCs/>
        </w:rPr>
        <w:t xml:space="preserve">Bull case:</w:t>
      </w:r>
      <w:r>
        <w:t xml:space="preserve"> </w:t>
      </w:r>
      <w:r>
        <w:t xml:space="preserve">Q2 is the volume trough; Novelis/F-Series supply recovers in H2; mix (SUVs, off-road, hybrids) and pricing discipline (lowest incentives vs. peers on F-150) protect margins; software/services + Ford Energy build a higher-multiple, recurring-revenue story; guidance gets raised again. The stock still trades in the low-$14s vs. a $17.50 bull target.</w:t>
      </w:r>
    </w:p>
    <w:p>
      <w:pPr>
        <w:pStyle w:val="BodyText"/>
      </w:pPr>
      <w:r>
        <w:rPr>
          <w:b/>
          <w:bCs/>
        </w:rPr>
        <w:t xml:space="preserve">Bear case:</w:t>
      </w:r>
      <w:r>
        <w:t xml:space="preserve"> </w:t>
      </w:r>
      <w:r>
        <w:t xml:space="preserve">Q1's optics fade as the $1.3B benefit rolls off and the sequential EBIT cliff becomes obvious; commodity and tariff run-rate costs harden; Model e losses stay large as EV demand stays soft (Q2 EV volume -41%); FCF conversion looks thin and the buyback is only anti-dilutive; a stock that's rallied ~20% off April lows leaves little room for a "in-line and reiterate" print.</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The headline EPS/EBIT will almost certainly look</w:t>
      </w:r>
      <w:r>
        <w:t xml:space="preserve"> </w:t>
      </w:r>
      <w:r>
        <w:rPr>
          <w:b/>
          <w:bCs/>
        </w:rPr>
        <w:t xml:space="preserve">weak sequentially</w:t>
      </w:r>
      <w:r>
        <w:t xml:space="preserve"> </w:t>
      </w:r>
      <w:r>
        <w:t xml:space="preserve">— that's expected and baked in by management's own cadence commentary. The market's verdict will hinge on three things: (1)</w:t>
      </w:r>
      <w:r>
        <w:t xml:space="preserve"> </w:t>
      </w:r>
      <w:r>
        <w:rPr>
          <w:b/>
          <w:bCs/>
        </w:rPr>
        <w:t xml:space="preserve">is Q2 confirmed as the trough</w:t>
      </w:r>
      <w:r>
        <w:t xml:space="preserve">, with F-Series/Novelis recovery on track for H2; (2)</w:t>
      </w:r>
      <w:r>
        <w:t xml:space="preserve"> </w:t>
      </w:r>
      <w:r>
        <w:rPr>
          <w:b/>
          <w:bCs/>
        </w:rPr>
        <w:t xml:space="preserve">does full-year guidance move higher</w:t>
      </w:r>
      <w:r>
        <w:t xml:space="preserve"> </w:t>
      </w:r>
      <w:r>
        <w:t xml:space="preserve">despite the ~$2B commodity headwind; and (3)</w:t>
      </w:r>
      <w:r>
        <w:t xml:space="preserve"> </w:t>
      </w:r>
      <w:r>
        <w:rPr>
          <w:b/>
          <w:bCs/>
        </w:rPr>
        <w:t xml:space="preserve">capital-return signals</w:t>
      </w:r>
      <w:r>
        <w:t xml:space="preserve"> </w:t>
      </w:r>
      <w:r>
        <w:t xml:space="preserve">(any supplemental-dividend hints). Given the pre-print upgrade and the ~20% rally off the lows, the bar has crept up — a simple in-line quarter with reiterated guidance may not be enough to satisfy.</w:t>
      </w:r>
    </w:p>
    <w:p>
      <w:pPr>
        <w:pStyle w:val="BodyText"/>
      </w:pPr>
      <w:r>
        <w:rPr>
          <w:i/>
          <w:iCs/>
        </w:rPr>
        <w:t xml:space="preserve">Note: Ford's reported financials here reflect a fiscal calendar in which "Q2 2026" corresponds to the June-quarter results being reported July 28, 2026. Figures cited are from Ford's Q1 2026 earnings release/call, its July 2 Q2 U.S. sales release, and recent news; consensus estimates were not available in the sourced materials, so expectations above are framed against management's guidance cadence and published analyst commentary.</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2026-07-28T02:13:30Z</dcterms:created>
  <dcterms:modified xsi:type="dcterms:W3CDTF">2026-07-28T02:13:30Z</dcterms:modified>
</cp:coreProperties>
</file>

<file path=docProps/custom.xml><?xml version="1.0" encoding="utf-8"?>
<Properties xmlns="http://schemas.openxmlformats.org/officeDocument/2006/custom-properties" xmlns:vt="http://schemas.openxmlformats.org/officeDocument/2006/docPropsVTypes"/>
</file>