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f-earnings-predictions--2026-07-28"/>
    <w:p>
      <w:pPr>
        <w:pStyle w:val="Heading1"/>
      </w:pPr>
      <w:r>
        <w:t xml:space="preserve">F Earnings Predictions — 2026-07-28</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F</w:t>
            </w:r>
          </w:p>
        </w:tc>
        <w:tc>
          <w:tcPr/>
          <w:p>
            <w:pPr>
              <w:pStyle w:val="Compact"/>
            </w:pPr>
            <w:r>
              <w:t xml:space="preserve">Report</w:t>
            </w:r>
          </w:p>
        </w:tc>
        <w:tc>
          <w:tcPr/>
          <w:p>
            <w:pPr>
              <w:pStyle w:val="Compact"/>
            </w:pPr>
            <w:r>
              <w:t xml:space="preserve">Adjusted EPS</w:t>
            </w:r>
          </w:p>
        </w:tc>
        <w:tc>
          <w:tcPr/>
          <w:p>
            <w:pPr>
              <w:pStyle w:val="Compact"/>
            </w:pPr>
            <w:r>
              <w:t xml:space="preserve">BEAT</w:t>
            </w:r>
          </w:p>
        </w:tc>
        <w:tc>
          <w:tcPr/>
          <w:p>
            <w:pPr>
              <w:pStyle w:val="Compact"/>
            </w:pPr>
            <w:r>
              <w:t xml:space="preserve">pred ~$0.37 vs. cons $0.34</w:t>
            </w:r>
          </w:p>
        </w:tc>
        <w:tc>
          <w:tcPr/>
          <w:p>
            <w:pPr>
              <w:pStyle w:val="Compact"/>
            </w:pPr>
            <w:r>
              <w:t xml:space="preserve">MEDIUM</w:t>
            </w:r>
          </w:p>
        </w:tc>
      </w:tr>
      <w:tr>
        <w:tc>
          <w:tcPr/>
          <w:p>
            <w:pPr>
              <w:pStyle w:val="Compact"/>
            </w:pPr>
            <w:r>
              <w:t xml:space="preserve">F</w:t>
            </w:r>
          </w:p>
        </w:tc>
        <w:tc>
          <w:tcPr/>
          <w:p>
            <w:pPr>
              <w:pStyle w:val="Compact"/>
            </w:pPr>
            <w:r>
              <w:t xml:space="preserve">Report</w:t>
            </w:r>
          </w:p>
        </w:tc>
        <w:tc>
          <w:tcPr/>
          <w:p>
            <w:pPr>
              <w:pStyle w:val="Compact"/>
            </w:pPr>
            <w:r>
              <w:t xml:space="preserve">Total Company Revenue</w:t>
            </w:r>
          </w:p>
        </w:tc>
        <w:tc>
          <w:tcPr/>
          <w:p>
            <w:pPr>
              <w:pStyle w:val="Compact"/>
            </w:pPr>
            <w:r>
              <w:t xml:space="preserve">IN-LINE</w:t>
            </w:r>
          </w:p>
        </w:tc>
        <w:tc>
          <w:tcPr/>
          <w:p>
            <w:pPr>
              <w:pStyle w:val="Compact"/>
            </w:pPr>
            <w:r>
              <w:t xml:space="preserve">pred ~$45.3B vs. cons $45.6B</w:t>
            </w:r>
          </w:p>
        </w:tc>
        <w:tc>
          <w:tcPr/>
          <w:p>
            <w:pPr>
              <w:pStyle w:val="Compact"/>
            </w:pPr>
            <w:r>
              <w:t xml:space="preserve">MEDIUM</w:t>
            </w:r>
          </w:p>
        </w:tc>
      </w:tr>
      <w:tr>
        <w:tc>
          <w:tcPr/>
          <w:p>
            <w:pPr>
              <w:pStyle w:val="Compact"/>
            </w:pPr>
            <w:r>
              <w:t xml:space="preserve">F</w:t>
            </w:r>
          </w:p>
        </w:tc>
        <w:tc>
          <w:tcPr/>
          <w:p>
            <w:pPr>
              <w:pStyle w:val="Compact"/>
            </w:pPr>
            <w:r>
              <w:t xml:space="preserve">Report</w:t>
            </w:r>
          </w:p>
        </w:tc>
        <w:tc>
          <w:tcPr/>
          <w:p>
            <w:pPr>
              <w:pStyle w:val="Compact"/>
            </w:pPr>
            <w:r>
              <w:t xml:space="preserve">Company Adjusted EBIT</w:t>
            </w:r>
          </w:p>
        </w:tc>
        <w:tc>
          <w:tcPr/>
          <w:p>
            <w:pPr>
              <w:pStyle w:val="Compact"/>
            </w:pPr>
            <w:r>
              <w:t xml:space="preserve">BEAT</w:t>
            </w:r>
          </w:p>
        </w:tc>
        <w:tc>
          <w:tcPr/>
          <w:p>
            <w:pPr>
              <w:pStyle w:val="Compact"/>
            </w:pPr>
            <w:r>
              <w:t xml:space="preserve">pred ~$2.4B vs. cons $2.2B</w:t>
            </w:r>
          </w:p>
        </w:tc>
        <w:tc>
          <w:tcPr/>
          <w:p>
            <w:pPr>
              <w:pStyle w:val="Compact"/>
            </w:pPr>
            <w:r>
              <w:t xml:space="preserve">MEDIUM</w:t>
            </w:r>
          </w:p>
        </w:tc>
      </w:tr>
      <w:tr>
        <w:tc>
          <w:tcPr/>
          <w:p>
            <w:pPr>
              <w:pStyle w:val="Compact"/>
            </w:pPr>
            <w:r>
              <w:t xml:space="preserve">F</w:t>
            </w:r>
          </w:p>
        </w:tc>
        <w:tc>
          <w:tcPr/>
          <w:p>
            <w:pPr>
              <w:pStyle w:val="Compact"/>
            </w:pPr>
            <w:r>
              <w:t xml:space="preserve">Guide</w:t>
            </w:r>
          </w:p>
        </w:tc>
        <w:tc>
          <w:tcPr/>
          <w:p>
            <w:pPr>
              <w:pStyle w:val="Compact"/>
            </w:pPr>
            <w:r>
              <w:t xml:space="preserve">FY2026 Company Adjusted EBIT range</w:t>
            </w:r>
          </w:p>
        </w:tc>
        <w:tc>
          <w:tcPr/>
          <w:p>
            <w:pPr>
              <w:pStyle w:val="Compact"/>
            </w:pPr>
            <w:r>
              <w:t xml:space="preserve">BETTER</w:t>
            </w:r>
          </w:p>
        </w:tc>
        <w:tc>
          <w:tcPr/>
          <w:p>
            <w:pPr>
              <w:pStyle w:val="Compact"/>
            </w:pPr>
            <w:r>
              <w:t xml:space="preserve">guide ~</w:t>
            </w:r>
            <m:oMath>
              <m:r>
                <m:t>9.0</m:t>
              </m:r>
              <m:r>
                <m:t>B</m:t>
              </m:r>
              <m:r>
                <m:rPr>
                  <m:sty m:val="p"/>
                </m:rPr>
                <m:t>−</m:t>
              </m:r>
            </m:oMath>
            <w:r>
              <w:t xml:space="preserve">11.0B vs. cons</w:t>
            </w:r>
            <w:r>
              <w:t xml:space="preserve"> </w:t>
            </w:r>
            <m:oMath>
              <m:r>
                <m:t>8.5</m:t>
              </m:r>
              <m:r>
                <m:t>B</m:t>
              </m:r>
              <m:r>
                <m:rPr>
                  <m:sty m:val="p"/>
                </m:rPr>
                <m:t>−</m:t>
              </m:r>
            </m:oMath>
            <w:r>
              <w:t xml:space="preserve">10.5B (FY2026)</w:t>
            </w:r>
          </w:p>
        </w:tc>
        <w:tc>
          <w:tcPr/>
          <w:p>
            <w:pPr>
              <w:pStyle w:val="Compact"/>
            </w:pPr>
            <w:r>
              <w:t xml:space="preserve">MEDIUM</w:t>
            </w:r>
          </w:p>
        </w:tc>
      </w:tr>
      <w:tr>
        <w:tc>
          <w:tcPr/>
          <w:p>
            <w:pPr>
              <w:pStyle w:val="Compact"/>
            </w:pPr>
            <w:r>
              <w:t xml:space="preserve">F</w:t>
            </w:r>
          </w:p>
        </w:tc>
        <w:tc>
          <w:tcPr/>
          <w:p>
            <w:pPr>
              <w:pStyle w:val="Compact"/>
            </w:pPr>
            <w:r>
              <w:t xml:space="preserve">Guide</w:t>
            </w:r>
          </w:p>
        </w:tc>
        <w:tc>
          <w:tcPr/>
          <w:p>
            <w:pPr>
              <w:pStyle w:val="Compact"/>
            </w:pPr>
            <w:r>
              <w:t xml:space="preserve">FY2026 Adjusted Free Cash Flow</w:t>
            </w:r>
          </w:p>
        </w:tc>
        <w:tc>
          <w:tcPr/>
          <w:p>
            <w:pPr>
              <w:pStyle w:val="Compact"/>
            </w:pPr>
            <w:r>
              <w:t xml:space="preserve">UNCHANGED</w:t>
            </w:r>
          </w:p>
        </w:tc>
        <w:tc>
          <w:tcPr/>
          <w:p>
            <w:pPr>
              <w:pStyle w:val="Compact"/>
            </w:pPr>
            <w:r>
              <w:t xml:space="preserve">guide ~</w:t>
            </w:r>
            <m:oMath>
              <m:r>
                <m:t>5</m:t>
              </m:r>
              <m:r>
                <m:t>B</m:t>
              </m:r>
              <m:r>
                <m:rPr>
                  <m:sty m:val="p"/>
                </m:rPr>
                <m:t>−</m:t>
              </m:r>
            </m:oMath>
            <w:r>
              <w:t xml:space="preserve">6B vs. cons</w:t>
            </w:r>
            <w:r>
              <w:t xml:space="preserve"> </w:t>
            </w:r>
            <m:oMath>
              <m:r>
                <m:t>5</m:t>
              </m:r>
              <m:r>
                <m:t>B</m:t>
              </m:r>
              <m:r>
                <m:rPr>
                  <m:sty m:val="p"/>
                </m:rPr>
                <m:t>−</m:t>
              </m:r>
            </m:oMath>
            <w:r>
              <w:t xml:space="preserve">6B (FY2026)</w:t>
            </w:r>
          </w:p>
        </w:tc>
        <w:tc>
          <w:tcPr/>
          <w:p>
            <w:pPr>
              <w:pStyle w:val="Compact"/>
            </w:pPr>
            <w:r>
              <w:t xml:space="preserve">MEDIUM</w:t>
            </w:r>
          </w:p>
        </w:tc>
      </w:tr>
      <w:tr>
        <w:tc>
          <w:tcPr/>
          <w:p>
            <w:pPr>
              <w:pStyle w:val="Compact"/>
            </w:pPr>
            <w:r>
              <w:t xml:space="preserve">F</w:t>
            </w:r>
          </w:p>
        </w:tc>
        <w:tc>
          <w:tcPr/>
          <w:p>
            <w:pPr>
              <w:pStyle w:val="Compact"/>
            </w:pPr>
            <w:r>
              <w:t xml:space="preserve">Guide</w:t>
            </w:r>
          </w:p>
        </w:tc>
        <w:tc>
          <w:tcPr/>
          <w:p>
            <w:pPr>
              <w:pStyle w:val="Compact"/>
            </w:pPr>
            <w:r>
              <w:t xml:space="preserve">FY2026 Commodity Cost Headwind</w:t>
            </w:r>
          </w:p>
        </w:tc>
        <w:tc>
          <w:tcPr/>
          <w:p>
            <w:pPr>
              <w:pStyle w:val="Compact"/>
            </w:pPr>
            <w:r>
              <w:t xml:space="preserve">UNCHANGED</w:t>
            </w:r>
          </w:p>
        </w:tc>
        <w:tc>
          <w:tcPr/>
          <w:p>
            <w:pPr>
              <w:pStyle w:val="Compact"/>
            </w:pPr>
            <w:r>
              <w:t xml:space="preserve">guide ~</w:t>
            </w:r>
            <m:oMath>
              <m:r>
                <m:t>2.0</m:t>
              </m:r>
              <m:r>
                <m:t>B</m:t>
              </m:r>
              <m:r>
                <m:rPr>
                  <m:sty m:val="p"/>
                </m:rPr>
                <m:t>−</m:t>
              </m:r>
            </m:oMath>
            <w:r>
              <w:t xml:space="preserve">2.2B vs. prior guide $2.0B (FY2026)</w:t>
            </w:r>
          </w:p>
        </w:tc>
        <w:tc>
          <w:tcPr/>
          <w:p>
            <w:pPr>
              <w:pStyle w:val="Compact"/>
            </w:pPr>
            <w:r>
              <w:t xml:space="preserve">LOW</w:t>
            </w:r>
          </w:p>
        </w:tc>
      </w:tr>
      <w:tr>
        <w:tc>
          <w:tcPr/>
          <w:p>
            <w:pPr>
              <w:pStyle w:val="Compact"/>
            </w:pPr>
            <w:r>
              <w:t xml:space="preserve">F</w:t>
            </w:r>
          </w:p>
        </w:tc>
        <w:tc>
          <w:tcPr/>
          <w:p>
            <w:pPr>
              <w:pStyle w:val="Compact"/>
            </w:pPr>
            <w:r>
              <w:t xml:space="preserve">Return</w:t>
            </w:r>
          </w:p>
        </w:tc>
        <w:tc>
          <w:tcPr/>
          <w:p>
            <w:pPr>
              <w:pStyle w:val="Compact"/>
            </w:pPr>
            <w:r>
              <w:t xml:space="preserve">Day-1 residual (stock − beta × S&amp;P 500)</w:t>
            </w:r>
          </w:p>
        </w:tc>
        <w:tc>
          <w:tcPr/>
          <w:p>
            <w:pPr>
              <w:pStyle w:val="Compact"/>
            </w:pPr>
            <w:r>
              <w:t xml:space="preserve">+2.0%</w:t>
            </w:r>
          </w:p>
        </w:tc>
        <w:tc>
          <w:tcPr/>
          <w:p>
            <w:pPr>
              <w:pStyle w:val="Compact"/>
            </w:pPr>
            <w:r>
              <w:t xml:space="preserve">—</w:t>
            </w:r>
          </w:p>
        </w:tc>
        <w:tc>
          <w:tcPr/>
          <w:p>
            <w:pPr>
              <w:pStyle w:val="Compact"/>
            </w:pPr>
            <w:r>
              <w:t xml:space="preserve">MEDIUM</w:t>
            </w:r>
          </w:p>
        </w:tc>
      </w:tr>
      <w:tr>
        <w:tc>
          <w:tcPr/>
          <w:p>
            <w:pPr>
              <w:pStyle w:val="Compact"/>
            </w:pPr>
            <w:r>
              <w:t xml:space="preserve">F</w:t>
            </w:r>
          </w:p>
        </w:tc>
        <w:tc>
          <w:tcPr/>
          <w:p>
            <w:pPr>
              <w:pStyle w:val="Compact"/>
            </w:pPr>
            <w:r>
              <w:t xml:space="preserve">Return</w:t>
            </w:r>
          </w:p>
        </w:tc>
        <w:tc>
          <w:tcPr/>
          <w:p>
            <w:pPr>
              <w:pStyle w:val="Compact"/>
            </w:pPr>
            <w:r>
              <w:t xml:space="preserve">5-day cumulative residual</w:t>
            </w:r>
          </w:p>
        </w:tc>
        <w:tc>
          <w:tcPr/>
          <w:p>
            <w:pPr>
              <w:pStyle w:val="Compact"/>
            </w:pPr>
            <w:r>
              <w:t xml:space="preserve">+0.5% (FADE)</w:t>
            </w:r>
          </w:p>
        </w:tc>
        <w:tc>
          <w:tcPr/>
          <w:p>
            <w:pPr>
              <w:pStyle w:val="Compact"/>
            </w:pPr>
            <w:r>
              <w:t xml:space="preserve">An initial pop from a modest EBIT beat and a nudge-up to the low end of full-year guidance is likely, echoing the Jefferies 'Q2 is the trough' thesis already partly priced into the +31% YTD rally. But management flagged Q1's beat as tariff-refund/one-time driven with earnings decelerating Q2-Q4, and H2 still carries incremental Novelis bridging costs, investment step-up (Universal EV Platform, Oakville, Ford Energy) and a heavy 2026 recall/warranty cost overhang. As sell-side models roll forward, implicit cuts to H2/FY26 out-period EBIT and FCF assumptions (commodity costs 'if prices stay where they are', warranty accrual risk) should pull consensus estimates back down over the following days, fading the initial reaction rather than sustaining it.</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2026-07-28T01:18:06Z</dcterms:created>
  <dcterms:modified xsi:type="dcterms:W3CDTF">2026-07-28T01:18:06Z</dcterms:modified>
</cp:coreProperties>
</file>

<file path=docProps/custom.xml><?xml version="1.0" encoding="utf-8"?>
<Properties xmlns="http://schemas.openxmlformats.org/officeDocument/2006/custom-properties" xmlns:vt="http://schemas.openxmlformats.org/officeDocument/2006/docPropsVTypes"/>
</file>