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-earnings-predictions--2026-07-28"/>
    <w:p>
      <w:pPr>
        <w:pStyle w:val="Heading1"/>
      </w:pPr>
      <w:r>
        <w:t xml:space="preserve">F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~$0.34 vs. cons $0.33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Ford Pro adjusted EBIT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~$1.60B vs. cons $1.68B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Model e adjusted EBIT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~$(1.31)B vs. cons $(1.26)B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~$9.50B midpoint vs. cons $9.55B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~$5.50B midpoint vs. cons $5.50B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Ford Pro adjusted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~$7.00B midpoint vs. cons $7.00B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Novelis-related production recovery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~150K units vs. cons 150K units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-5.1% (FOLLOW-THROUGH)</w:t>
            </w:r>
          </w:p>
        </w:tc>
        <w:tc>
          <w:tcPr/>
          <w:p>
            <w:pPr>
              <w:pStyle w:val="Compact"/>
            </w:pPr>
            <w:r>
              <w:t xml:space="preserve">A small EPS beat is likely to be judged low quality if Ford Pro and Model e miss while FY2026 guidance remains unchanged. The unchanged $9.50B EBIT midpoint after a strong Q1 implies only about $4.1B of second-half EBIT versus roughly $4.3B embedded in consensus, driving estimate cuts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2026-07-28T01:19:02Z</dcterms:created>
  <dcterms:modified xsi:type="dcterms:W3CDTF">2026-07-28T01:19:02Z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