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ford-q2-2026-earnings-preview"/>
    <w:p>
      <w:pPr>
        <w:pStyle w:val="Heading1"/>
      </w:pPr>
      <w:r>
        <w:t xml:space="preserve">Ford Q2 2026 Earnings Preview</w:t>
      </w:r>
    </w:p>
    <w:p>
      <w:pPr>
        <w:pStyle w:val="BlockText"/>
      </w:pPr>
      <w:r>
        <w:rPr>
          <w:b/>
          <w:bCs/>
        </w:rPr>
        <w:t xml:space="preserve">Date check:</w:t>
      </w:r>
      <w:r>
        <w:t xml:space="preserve"> </w:t>
      </w:r>
      <w:r>
        <w:t xml:space="preserve">Ford is scheduled to report</w:t>
      </w:r>
      <w:r>
        <w:t xml:space="preserve"> </w:t>
      </w:r>
      <w:r>
        <w:rPr>
          <w:b/>
          <w:bCs/>
        </w:rPr>
        <w:t xml:space="preserve">today, Tuesday, July 28, 2026</w:t>
      </w:r>
      <w:r>
        <w:t xml:space="preserve">, after the market closes, followed by its earnings call at</w:t>
      </w:r>
      <w:r>
        <w:t xml:space="preserve"> </w:t>
      </w:r>
      <w:r>
        <w:rPr>
          <w:b/>
          <w:bCs/>
        </w:rPr>
        <w:t xml:space="preserve">5:00 p.m. ET</w:t>
      </w:r>
      <w:r>
        <w:t xml:space="preserve">—not tomorrow. (</w:t>
      </w:r>
      <w:hyperlink r:id="rId9">
        <w:r>
          <w:rPr>
            <w:rStyle w:val="Hyperlink"/>
          </w:rPr>
          <w:t xml:space="preserve">shareholder.ford.com</w:t>
        </w:r>
      </w:hyperlink>
      <w:r>
        <w:t xml:space="preserve">)</w:t>
      </w:r>
    </w:p>
    <w:bookmarkStart w:id="10" w:name="investment-setup"/>
    <w:p>
      <w:pPr>
        <w:pStyle w:val="Heading2"/>
      </w:pPr>
      <w:r>
        <w:t xml:space="preserve">Investment setup</w:t>
      </w:r>
    </w:p>
    <w:p>
      <w:pPr>
        <w:pStyle w:val="FirstParagraph"/>
      </w:pPr>
      <w:r>
        <w:t xml:space="preserve">Ford enters the report with two competing narratives:</w:t>
      </w:r>
    </w:p>
    <w:p>
      <w:pPr>
        <w:pStyle w:val="Compact"/>
        <w:numPr>
          <w:ilvl w:val="0"/>
          <w:numId w:val="1001"/>
        </w:numPr>
      </w:pPr>
      <w:r>
        <w:rPr>
          <w:b/>
          <w:bCs/>
        </w:rPr>
        <w:t xml:space="preserve">The core franchise looks healthy.</w:t>
      </w:r>
      <w:r>
        <w:t xml:space="preserve"> </w:t>
      </w:r>
      <w:r>
        <w:t xml:space="preserve">Trucks, large SUVs, premium/off-road trims and Ford Pro software are supporting pricing and mix.</w:t>
      </w:r>
    </w:p>
    <w:p>
      <w:pPr>
        <w:pStyle w:val="Compact"/>
        <w:numPr>
          <w:ilvl w:val="0"/>
          <w:numId w:val="1001"/>
        </w:numPr>
      </w:pPr>
      <w:r>
        <w:rPr>
          <w:b/>
          <w:bCs/>
        </w:rPr>
        <w:t xml:space="preserve">Q2 is likely to expose the cost of the transition.</w:t>
      </w:r>
      <w:r>
        <w:t xml:space="preserve"> </w:t>
      </w:r>
      <w:r>
        <w:t xml:space="preserve">Temporary aluminum-sourcing expenses, commodity inflation and heavier investment in Ford’s next-generation EV and energy-storage businesses all step up after an unusually strong Q1.</w:t>
      </w:r>
    </w:p>
    <w:p>
      <w:pPr>
        <w:pStyle w:val="FirstParagraph"/>
      </w:pPr>
      <w:r>
        <w:t xml:space="preserve">That makes this less a conventional EPS-beat quarter than a</w:t>
      </w:r>
      <w:r>
        <w:t xml:space="preserve"> </w:t>
      </w:r>
      <w:r>
        <w:rPr>
          <w:b/>
          <w:bCs/>
        </w:rPr>
        <w:t xml:space="preserve">guidance-quality quarter</w:t>
      </w:r>
      <w:r>
        <w:t xml:space="preserve">. Investors will want evidence that Q2 represents the earnings trough and that Ford can deliver the second-half volume recovery embedded in its full-year outlook.</w:t>
      </w:r>
    </w:p>
    <w:p>
      <w:r>
        <w:pict>
          <v:rect style="width:0;height:1.5pt" o:hralign="center" o:hrstd="t" o:hr="t"/>
        </w:pict>
      </w:r>
    </w:p>
    <w:bookmarkEnd w:id="10"/>
    <w:bookmarkStart w:id="14" w:name="what-wall-street-expects"/>
    <w:p>
      <w:pPr>
        <w:pStyle w:val="Heading2"/>
      </w:pPr>
      <w:r>
        <w:t xml:space="preserve">What Wall Street expects</w:t>
      </w:r>
    </w:p>
    <w:p>
      <w:pPr>
        <w:pStyle w:val="FirstParagraph"/>
      </w:pPr>
      <w:r>
        <w:t xml:space="preserve">Consensus varies slightly by provider and by whether revenue includes Ford Credit: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expectation</w:t>
            </w:r>
          </w:p>
        </w:tc>
      </w:tr>
      <w:tr>
        <w:tc>
          <w:tcPr/>
          <w:p>
            <w:pPr>
              <w:pStyle w:val="Compact"/>
            </w:pPr>
            <w:r>
              <w:t xml:space="preserve">Adjusted EPS</w:t>
            </w:r>
          </w:p>
        </w:tc>
        <w:tc>
          <w:tcPr/>
          <w:p>
            <w:pPr>
              <w:pStyle w:val="Compact"/>
              <w:jc w:val="right"/>
            </w:pPr>
            <w:r>
              <w:t xml:space="preserve">Approximately</w:t>
            </w:r>
            <w:r>
              <w:t xml:space="preserve"> </w:t>
            </w:r>
            <m:oMath>
              <m:r>
                <m:t>0.33</m:t>
              </m:r>
              <m:r>
                <m:rPr>
                  <m:sty m:val="p"/>
                </m:rPr>
                <m:t>–</m:t>
              </m:r>
            </m:oMath>
            <w:r>
              <w:rPr>
                <w:b/>
                <w:bCs/>
              </w:rPr>
              <w:t xml:space="preserve">0.36</w:t>
            </w:r>
          </w:p>
        </w:tc>
      </w:tr>
      <w:tr>
        <w:tc>
          <w:tcPr/>
          <w:p>
            <w:pPr>
              <w:pStyle w:val="Compact"/>
            </w:pPr>
            <w:r>
              <w:t xml:space="preserve">Automotive revenue</w:t>
            </w:r>
          </w:p>
        </w:tc>
        <w:tc>
          <w:tcPr/>
          <w:p>
            <w:pPr>
              <w:pStyle w:val="Compact"/>
              <w:jc w:val="right"/>
            </w:pPr>
            <w:r>
              <w:t xml:space="preserve">Approximately</w:t>
            </w:r>
            <w:r>
              <w:t xml:space="preserve"> </w:t>
            </w:r>
            <w:r>
              <w:rPr>
                <w:b/>
                <w:bCs/>
              </w:rPr>
              <w:t xml:space="preserve">$45.7B</w:t>
            </w:r>
          </w:p>
        </w:tc>
      </w:tr>
      <w:tr>
        <w:tc>
          <w:tcPr/>
          <w:p>
            <w:pPr>
              <w:pStyle w:val="Compact"/>
            </w:pPr>
            <w:r>
              <w:t xml:space="preserve">Total revenue, alternate estimate</w:t>
            </w:r>
          </w:p>
        </w:tc>
        <w:tc>
          <w:tcPr/>
          <w:p>
            <w:pPr>
              <w:pStyle w:val="Compact"/>
              <w:jc w:val="right"/>
            </w:pPr>
            <w:r>
              <w:t xml:space="preserve">Approximately</w:t>
            </w:r>
            <w:r>
              <w:t xml:space="preserve"> </w:t>
            </w:r>
            <w:r>
              <w:rPr>
                <w:b/>
                <w:bCs/>
              </w:rPr>
              <w:t xml:space="preserve">$47.4B</w:t>
            </w:r>
          </w:p>
        </w:tc>
      </w:tr>
      <w:tr>
        <w:tc>
          <w:tcPr/>
          <w:p>
            <w:pPr>
              <w:pStyle w:val="Compact"/>
            </w:pPr>
            <w:r>
              <w:t xml:space="preserve">Ford Blue adjusted EBIT</w:t>
            </w:r>
          </w:p>
        </w:tc>
        <w:tc>
          <w:tcPr/>
          <w:p>
            <w:pPr>
              <w:pStyle w:val="Compact"/>
              <w:jc w:val="right"/>
            </w:pPr>
            <w:r>
              <w:t xml:space="preserve">Approximately</w:t>
            </w:r>
            <w:r>
              <w:t xml:space="preserve"> </w:t>
            </w:r>
            <w:r>
              <w:rPr>
                <w:b/>
                <w:bCs/>
              </w:rPr>
              <w:t xml:space="preserve">$1.24B</w:t>
            </w:r>
          </w:p>
        </w:tc>
      </w:tr>
      <w:tr>
        <w:tc>
          <w:tcPr/>
          <w:p>
            <w:pPr>
              <w:pStyle w:val="Compact"/>
            </w:pPr>
            <w:r>
              <w:t xml:space="preserve">Ford Pro adjusted EBIT</w:t>
            </w:r>
          </w:p>
        </w:tc>
        <w:tc>
          <w:tcPr/>
          <w:p>
            <w:pPr>
              <w:pStyle w:val="Compact"/>
              <w:jc w:val="right"/>
            </w:pPr>
            <w:r>
              <w:t xml:space="preserve">Approximately</w:t>
            </w:r>
            <w:r>
              <w:t xml:space="preserve"> </w:t>
            </w:r>
            <w:r>
              <w:rPr>
                <w:b/>
                <w:bCs/>
              </w:rPr>
              <w:t xml:space="preserve">$1.68B</w:t>
            </w:r>
          </w:p>
        </w:tc>
      </w:tr>
      <w:tr>
        <w:tc>
          <w:tcPr/>
          <w:p>
            <w:pPr>
              <w:pStyle w:val="Compact"/>
            </w:pPr>
            <w:r>
              <w:t xml:space="preserve">Model e adjusted EBIT</w:t>
            </w:r>
          </w:p>
        </w:tc>
        <w:tc>
          <w:tcPr/>
          <w:p>
            <w:pPr>
              <w:pStyle w:val="Compact"/>
              <w:jc w:val="right"/>
            </w:pPr>
            <w:r>
              <w:t xml:space="preserve">Approximately</w:t>
            </w:r>
            <w:r>
              <w:t xml:space="preserve"> </w:t>
            </w:r>
            <w:r>
              <w:rPr>
                <w:b/>
                <w:bCs/>
              </w:rPr>
              <w:t xml:space="preserve">$(1.26)B</w:t>
            </w:r>
          </w:p>
        </w:tc>
      </w:tr>
      <w:tr>
        <w:tc>
          <w:tcPr/>
          <w:p>
            <w:pPr>
              <w:pStyle w:val="Compact"/>
            </w:pPr>
            <w:r>
              <w:t xml:space="preserve">Ford Credit EBT</w:t>
            </w:r>
          </w:p>
        </w:tc>
        <w:tc>
          <w:tcPr/>
          <w:p>
            <w:pPr>
              <w:pStyle w:val="Compact"/>
              <w:jc w:val="right"/>
            </w:pPr>
            <w:r>
              <w:t xml:space="preserve">Approximately</w:t>
            </w:r>
            <w:r>
              <w:t xml:space="preserve"> </w:t>
            </w:r>
            <w:r>
              <w:rPr>
                <w:b/>
                <w:bCs/>
              </w:rPr>
              <w:t xml:space="preserve">$546M</w:t>
            </w:r>
          </w:p>
        </w:tc>
      </w:tr>
    </w:tbl>
    <w:p>
      <w:pPr>
        <w:pStyle w:val="BodyText"/>
      </w:pPr>
      <w:r>
        <w:t xml:space="preserve">The EPS estimate is roughly flat to slightly lower year over year. The segment estimates imply substantial improvement at Ford Blue but weaker Ford Pro profit and another large Model e loss. (</w:t>
      </w:r>
      <w:hyperlink r:id="rId11">
        <w:r>
          <w:rPr>
            <w:rStyle w:val="Hyperlink"/>
          </w:rPr>
          <w:t xml:space="preserve">marketbeat.com</w:t>
        </w:r>
      </w:hyperlink>
      <w:r>
        <w:t xml:space="preserve">)</w:t>
      </w:r>
    </w:p>
    <w:bookmarkStart w:id="13" w:name="current-full-year-guidance"/>
    <w:p>
      <w:pPr>
        <w:pStyle w:val="Heading3"/>
      </w:pPr>
      <w:r>
        <w:t xml:space="preserve">Current full-year guidance</w:t>
      </w:r>
    </w:p>
    <w:p>
      <w:pPr>
        <w:pStyle w:val="FirstParagraph"/>
      </w:pPr>
      <w:r>
        <w:t xml:space="preserve">Ford raised its 2026 outlook after Q1 to:</w:t>
      </w:r>
    </w:p>
    <w:p>
      <w:pPr>
        <w:pStyle w:val="Compact"/>
        <w:numPr>
          <w:ilvl w:val="0"/>
          <w:numId w:val="1002"/>
        </w:numPr>
      </w:pPr>
      <w:r>
        <w:rPr>
          <w:b/>
          <w:bCs/>
        </w:rPr>
        <w:t xml:space="preserve">Adjusted EBIT:</w:t>
      </w:r>
      <w:r>
        <w:t xml:space="preserve"> </w:t>
      </w:r>
      <m:oMath>
        <m:r>
          <m:t>8.5</m:t>
        </m:r>
        <m:r>
          <m:t>B</m:t>
        </m:r>
        <m:r>
          <m:rPr>
            <m:sty m:val="p"/>
          </m:rPr>
          <m:t>–</m:t>
        </m:r>
      </m:oMath>
      <w:r>
        <w:t xml:space="preserve">10.5B</w:t>
      </w:r>
    </w:p>
    <w:p>
      <w:pPr>
        <w:pStyle w:val="Compact"/>
        <w:numPr>
          <w:ilvl w:val="0"/>
          <w:numId w:val="1002"/>
        </w:numPr>
      </w:pPr>
      <w:r>
        <w:rPr>
          <w:b/>
          <w:bCs/>
        </w:rPr>
        <w:t xml:space="preserve">Adjusted free cash flow:</w:t>
      </w:r>
      <w:r>
        <w:t xml:space="preserve"> </w:t>
      </w:r>
      <m:oMath>
        <m:r>
          <m:t>5</m:t>
        </m:r>
        <m:r>
          <m:t>B</m:t>
        </m:r>
        <m:r>
          <m:rPr>
            <m:sty m:val="p"/>
          </m:rPr>
          <m:t>–</m:t>
        </m:r>
      </m:oMath>
      <w:r>
        <w:t xml:space="preserve">6B</w:t>
      </w:r>
    </w:p>
    <w:p>
      <w:pPr>
        <w:pStyle w:val="Compact"/>
        <w:numPr>
          <w:ilvl w:val="0"/>
          <w:numId w:val="1002"/>
        </w:numPr>
      </w:pPr>
      <w:r>
        <w:rPr>
          <w:b/>
          <w:bCs/>
        </w:rPr>
        <w:t xml:space="preserve">Capital expenditures:</w:t>
      </w:r>
      <w:r>
        <w:t xml:space="preserve"> </w:t>
      </w:r>
      <m:oMath>
        <m:r>
          <m:t>9.5</m:t>
        </m:r>
        <m:r>
          <m:t>B</m:t>
        </m:r>
        <m:r>
          <m:rPr>
            <m:sty m:val="p"/>
          </m:rPr>
          <m:t>–</m:t>
        </m:r>
      </m:oMath>
      <w:r>
        <w:t xml:space="preserve">10.5B</w:t>
      </w:r>
    </w:p>
    <w:p>
      <w:pPr>
        <w:pStyle w:val="Compact"/>
        <w:numPr>
          <w:ilvl w:val="0"/>
          <w:numId w:val="1002"/>
        </w:numPr>
      </w:pPr>
      <w:r>
        <w:rPr>
          <w:b/>
          <w:bCs/>
        </w:rPr>
        <w:t xml:space="preserve">Ford Blue EBIT:</w:t>
      </w:r>
      <w:r>
        <w:t xml:space="preserve"> </w:t>
      </w:r>
      <m:oMath>
        <m:r>
          <m:t>4.5</m:t>
        </m:r>
        <m:r>
          <m:t>B</m:t>
        </m:r>
        <m:r>
          <m:rPr>
            <m:sty m:val="p"/>
          </m:rPr>
          <m:t>–</m:t>
        </m:r>
      </m:oMath>
      <w:r>
        <w:t xml:space="preserve">5B</w:t>
      </w:r>
    </w:p>
    <w:p>
      <w:pPr>
        <w:pStyle w:val="Compact"/>
        <w:numPr>
          <w:ilvl w:val="0"/>
          <w:numId w:val="1002"/>
        </w:numPr>
      </w:pPr>
      <w:r>
        <w:rPr>
          <w:b/>
          <w:bCs/>
        </w:rPr>
        <w:t xml:space="preserve">Ford Pro EBIT:</w:t>
      </w:r>
      <w:r>
        <w:t xml:space="preserve"> </w:t>
      </w:r>
      <m:oMath>
        <m:r>
          <m:t>6.5</m:t>
        </m:r>
        <m:r>
          <m:t>B</m:t>
        </m:r>
        <m:r>
          <m:rPr>
            <m:sty m:val="p"/>
          </m:rPr>
          <m:t>–</m:t>
        </m:r>
      </m:oMath>
      <w:r>
        <w:t xml:space="preserve">7.5B</w:t>
      </w:r>
    </w:p>
    <w:p>
      <w:pPr>
        <w:pStyle w:val="Compact"/>
        <w:numPr>
          <w:ilvl w:val="0"/>
          <w:numId w:val="1002"/>
        </w:numPr>
      </w:pPr>
      <w:r>
        <w:rPr>
          <w:b/>
          <w:bCs/>
        </w:rPr>
        <w:t xml:space="preserve">Model e loss:</w:t>
      </w:r>
      <w:r>
        <w:t xml:space="preserve"> </w:t>
      </w:r>
      <m:oMath>
        <m:r>
          <m:t>4</m:t>
        </m:r>
        <m:r>
          <m:t>B</m:t>
        </m:r>
        <m:r>
          <m:rPr>
            <m:sty m:val="p"/>
          </m:rPr>
          <m:t>–</m:t>
        </m:r>
      </m:oMath>
      <w:r>
        <w:t xml:space="preserve">4.5B</w:t>
      </w:r>
    </w:p>
    <w:p>
      <w:pPr>
        <w:pStyle w:val="Compact"/>
        <w:numPr>
          <w:ilvl w:val="0"/>
          <w:numId w:val="1002"/>
        </w:numPr>
      </w:pPr>
      <w:r>
        <w:rPr>
          <w:b/>
          <w:bCs/>
        </w:rPr>
        <w:t xml:space="preserve">Ford Credit EBT:</w:t>
      </w:r>
      <w:r>
        <w:t xml:space="preserve"> </w:t>
      </w:r>
      <w:r>
        <w:t xml:space="preserve">approximately $2.5B</w:t>
      </w:r>
    </w:p>
    <w:p>
      <w:pPr>
        <w:pStyle w:val="FirstParagraph"/>
      </w:pPr>
      <w:r>
        <w:t xml:space="preserve">Ford generated</w:t>
      </w:r>
      <w:r>
        <w:t xml:space="preserve"> </w:t>
      </w:r>
      <m:oMath>
        <m:r>
          <m:t>3.5</m:t>
        </m:r>
        <m:r>
          <m:t>B</m:t>
        </m:r>
        <m:r>
          <m:t>o</m:t>
        </m:r>
        <m:r>
          <m:t>f</m:t>
        </m:r>
        <m:r>
          <m:t>a</m:t>
        </m:r>
        <m:r>
          <m:t>d</m:t>
        </m:r>
        <m:r>
          <m:t>j</m:t>
        </m:r>
        <m:r>
          <m:t>u</m:t>
        </m:r>
        <m:r>
          <m:t>s</m:t>
        </m:r>
        <m:r>
          <m:t>t</m:t>
        </m:r>
        <m:r>
          <m:t>e</m:t>
        </m:r>
        <m:r>
          <m:t>d</m:t>
        </m:r>
        <m:r>
          <m:t>E</m:t>
        </m:r>
        <m:r>
          <m:t>B</m:t>
        </m:r>
        <m:r>
          <m:t>I</m:t>
        </m:r>
        <m:r>
          <m:t>T</m:t>
        </m:r>
        <m:r>
          <m:t>i</m:t>
        </m:r>
        <m:r>
          <m:t>n</m:t>
        </m:r>
        <m:r>
          <m:t>Q</m:t>
        </m:r>
        <m:r>
          <m:t>1</m:t>
        </m:r>
        <m:r>
          <m:rPr>
            <m:sty m:val="p"/>
          </m:rPr>
          <m:t>,</m:t>
        </m:r>
        <m:r>
          <m:t>a</m:t>
        </m:r>
        <m:r>
          <m:t>l</m:t>
        </m:r>
        <m:r>
          <m:t>t</m:t>
        </m:r>
        <m:r>
          <m:t>h</m:t>
        </m:r>
        <m:r>
          <m:t>o</m:t>
        </m:r>
        <m:r>
          <m:t>u</m:t>
        </m:r>
        <m:r>
          <m:t>g</m:t>
        </m:r>
        <m:r>
          <m:t>h</m:t>
        </m:r>
        <m:r>
          <m:t>t</m:t>
        </m:r>
        <m:r>
          <m:t>h</m:t>
        </m:r>
        <m:r>
          <m:t>a</m:t>
        </m:r>
        <m:r>
          <m:t>t</m:t>
        </m:r>
        <m:r>
          <m:t>i</m:t>
        </m:r>
        <m:r>
          <m:t>n</m:t>
        </m:r>
        <m:r>
          <m:t>c</m:t>
        </m:r>
        <m:r>
          <m:t>l</m:t>
        </m:r>
        <m:r>
          <m:t>u</m:t>
        </m:r>
        <m:r>
          <m:t>d</m:t>
        </m:r>
        <m:r>
          <m:t>e</m:t>
        </m:r>
        <m:r>
          <m:t>d</m:t>
        </m:r>
        <m:r>
          <m:t>a</m:t>
        </m:r>
        <m:r>
          <m:rPr>
            <m:sty m:val="p"/>
          </m:rPr>
          <m:t>*</m:t>
        </m:r>
        <m:r>
          <m:rPr>
            <m:sty m:val="p"/>
          </m:rPr>
          <m:t>*</m:t>
        </m:r>
      </m:oMath>
      <w:r>
        <w:t xml:space="preserve">1.3B one-time tariff-related benefit**. The annual guidance therefore implies approximately</w:t>
      </w:r>
      <w:r>
        <w:t xml:space="preserve"> </w:t>
      </w:r>
      <m:oMath>
        <m:r>
          <m:t>5</m:t>
        </m:r>
        <m:r>
          <m:t>B</m:t>
        </m:r>
        <m:r>
          <m:rPr>
            <m:sty m:val="p"/>
          </m:rPr>
          <m:t>–</m:t>
        </m:r>
      </m:oMath>
      <w:r>
        <w:t xml:space="preserve">7B of aggregate EBIT over the final three quarters. Management previously described Q2 through Q4 earnings as relatively even, suggesting a rough quarterly run rate around</w:t>
      </w:r>
      <w:r>
        <w:t xml:space="preserve"> </w:t>
      </w:r>
      <m:oMath>
        <m:r>
          <m:t>1.7</m:t>
        </m:r>
        <m:r>
          <m:t>B</m:t>
        </m:r>
        <m:r>
          <m:rPr>
            <m:sty m:val="p"/>
          </m:rPr>
          <m:t>–</m:t>
        </m:r>
      </m:oMath>
      <w:r>
        <w:t xml:space="preserve">2.3B. Ford’s Q1 filing confirms the</w:t>
      </w:r>
      <w:r>
        <w:t xml:space="preserve"> </w:t>
      </w:r>
      <m:oMath>
        <m:r>
          <m:t>8.5</m:t>
        </m:r>
        <m:r>
          <m:t>B</m:t>
        </m:r>
        <m:r>
          <m:rPr>
            <m:sty m:val="p"/>
          </m:rPr>
          <m:t>–</m:t>
        </m:r>
      </m:oMath>
      <w:r>
        <w:t xml:space="preserve">10.5B EBIT and</w:t>
      </w:r>
      <w:r>
        <w:t xml:space="preserve"> </w:t>
      </w:r>
      <m:oMath>
        <m:r>
          <m:t>5</m:t>
        </m:r>
        <m:r>
          <m:t>B</m:t>
        </m:r>
        <m:r>
          <m:rPr>
            <m:sty m:val="p"/>
          </m:rPr>
          <m:t>–</m:t>
        </m:r>
      </m:oMath>
      <w:r>
        <w:t xml:space="preserve">6B free-cash-flow outlook. (</w:t>
      </w:r>
      <w:hyperlink r:id="rId12">
        <w:r>
          <w:rPr>
            <w:rStyle w:val="Hyperlink"/>
          </w:rPr>
          <w:t xml:space="preserve">fortune.com</w:t>
        </w:r>
      </w:hyperlink>
      <w:r>
        <w:t xml:space="preserve">)</w:t>
      </w:r>
    </w:p>
    <w:p>
      <w:r>
        <w:pict>
          <v:rect style="width:0;height:1.5pt" o:hralign="center" o:hrstd="t" o:hr="t"/>
        </w:pict>
      </w:r>
    </w:p>
    <w:bookmarkEnd w:id="13"/>
    <w:bookmarkEnd w:id="14"/>
    <w:bookmarkStart w:id="15" w:name="the-five-issues-that-matter-most"/>
    <w:p>
      <w:pPr>
        <w:pStyle w:val="Heading2"/>
      </w:pPr>
      <w:r>
        <w:t xml:space="preserve">The five issues that matter most</w:t>
      </w:r>
    </w:p>
    <w:bookmarkEnd w:id="15"/>
    <w:bookmarkStart w:id="16" w:name="Xa73e62cae531a321cc502eb06b83ef62d5c6050"/>
    <w:p>
      <w:pPr>
        <w:pStyle w:val="Heading2"/>
      </w:pPr>
      <w:r>
        <w:t xml:space="preserve">1. Novelis recovery and the second-half production catch-up</w:t>
      </w:r>
    </w:p>
    <w:p>
      <w:pPr>
        <w:pStyle w:val="FirstParagraph"/>
      </w:pPr>
      <w:r>
        <w:t xml:space="preserve">This is probably the quarter’s most important operating issue.</w:t>
      </w:r>
    </w:p>
    <w:p>
      <w:pPr>
        <w:pStyle w:val="BodyText"/>
      </w:pPr>
      <w:r>
        <w:t xml:space="preserve">Ford expects approximately</w:t>
      </w:r>
      <w:r>
        <w:t xml:space="preserve"> </w:t>
      </w:r>
      <w:r>
        <w:rPr>
          <w:b/>
          <w:bCs/>
        </w:rPr>
        <w:t xml:space="preserve">$1B of year-over-year EBIT improvement</w:t>
      </w:r>
      <w:r>
        <w:t xml:space="preserve"> </w:t>
      </w:r>
      <w:r>
        <w:t xml:space="preserve">from recovering production lost after the Novelis aluminum-supply disruption. That includes:</w:t>
      </w:r>
    </w:p>
    <w:p>
      <w:pPr>
        <w:pStyle w:val="Compact"/>
        <w:numPr>
          <w:ilvl w:val="0"/>
          <w:numId w:val="1003"/>
        </w:numPr>
      </w:pPr>
      <w:r>
        <w:t xml:space="preserve">Avoiding a repeat of roughly 100,000 lost vehicles from 2025.</w:t>
      </w:r>
    </w:p>
    <w:p>
      <w:pPr>
        <w:pStyle w:val="Compact"/>
        <w:numPr>
          <w:ilvl w:val="0"/>
          <w:numId w:val="1003"/>
        </w:numPr>
      </w:pPr>
      <w:r>
        <w:t xml:space="preserve">Recovering approximately 50,000 additional units during 2026.</w:t>
      </w:r>
    </w:p>
    <w:p>
      <w:pPr>
        <w:pStyle w:val="Compact"/>
        <w:numPr>
          <w:ilvl w:val="0"/>
          <w:numId w:val="1003"/>
        </w:numPr>
      </w:pPr>
      <w:r>
        <w:t xml:space="preserve">Absorbing</w:t>
      </w:r>
      <w:r>
        <w:t xml:space="preserve"> </w:t>
      </w:r>
      <m:oMath>
        <m:r>
          <m:t>1.5</m:t>
        </m:r>
        <m:r>
          <m:t>B</m:t>
        </m:r>
        <m:r>
          <m:rPr>
            <m:sty m:val="p"/>
          </m:rPr>
          <m:t>–</m:t>
        </m:r>
      </m:oMath>
      <w:r>
        <w:rPr>
          <w:b/>
          <w:bCs/>
        </w:rPr>
        <w:t xml:space="preserve">2B</w:t>
      </w:r>
      <w:r>
        <w:t xml:space="preserve"> </w:t>
      </w:r>
      <w:r>
        <w:t xml:space="preserve">of temporary costs for alternative aluminum supply, freight, tariffs and warehousing.</w:t>
      </w:r>
    </w:p>
    <w:p>
      <w:pPr>
        <w:pStyle w:val="FirstParagraph"/>
      </w:pPr>
      <w:r>
        <w:t xml:space="preserve">Only about $300M of those temporary costs appeared in Q1. Management said in June that the expense would rise in Q2 and Q3, while Novelis production should approach full pace during Q4.</w:t>
      </w:r>
    </w:p>
    <w:p>
      <w:pPr>
        <w:pStyle w:val="BodyText"/>
      </w:pPr>
      <w:r>
        <w:rPr>
          <w:b/>
          <w:bCs/>
        </w:rPr>
        <w:t xml:space="preserve">What investors should listen for:</w:t>
      </w:r>
    </w:p>
    <w:p>
      <w:pPr>
        <w:pStyle w:val="Compact"/>
        <w:numPr>
          <w:ilvl w:val="0"/>
          <w:numId w:val="1004"/>
        </w:numPr>
      </w:pPr>
      <w:r>
        <w:t xml:space="preserve">Has Novelis’ ramp remained on schedule?</w:t>
      </w:r>
    </w:p>
    <w:p>
      <w:pPr>
        <w:pStyle w:val="Compact"/>
        <w:numPr>
          <w:ilvl w:val="0"/>
          <w:numId w:val="1004"/>
        </w:numPr>
      </w:pPr>
      <w:r>
        <w:t xml:space="preserve">Is the expected 150,000-unit production recovery intact?</w:t>
      </w:r>
    </w:p>
    <w:p>
      <w:pPr>
        <w:pStyle w:val="Compact"/>
        <w:numPr>
          <w:ilvl w:val="0"/>
          <w:numId w:val="1004"/>
        </w:numPr>
      </w:pPr>
      <w:r>
        <w:t xml:space="preserve">Have contingency aluminum supplies prevented further plant disruption?</w:t>
      </w:r>
    </w:p>
    <w:p>
      <w:pPr>
        <w:pStyle w:val="Compact"/>
        <w:numPr>
          <w:ilvl w:val="0"/>
          <w:numId w:val="1004"/>
        </w:numPr>
      </w:pPr>
      <w:r>
        <w:t xml:space="preserve">Is Ford still confident it can sell the recovered vehicles without heavier incentives?</w:t>
      </w:r>
    </w:p>
    <w:p>
      <w:pPr>
        <w:pStyle w:val="Compact"/>
        <w:numPr>
          <w:ilvl w:val="0"/>
          <w:numId w:val="1004"/>
        </w:numPr>
      </w:pPr>
      <w:r>
        <w:t xml:space="preserve">Will any temporary aluminum costs leak into 2027?</w:t>
      </w:r>
    </w:p>
    <w:p>
      <w:pPr>
        <w:pStyle w:val="FirstParagraph"/>
      </w:pPr>
      <w:r>
        <w:t xml:space="preserve">A delay would be more serious than a modest Q2 EPS miss because it would challenge the volume and cost assumptions behind full-year guidance.</w:t>
      </w:r>
    </w:p>
    <w:p>
      <w:r>
        <w:pict>
          <v:rect style="width:0;height:1.5pt" o:hralign="center" o:hrstd="t" o:hr="t"/>
        </w:pict>
      </w:r>
    </w:p>
    <w:bookmarkEnd w:id="16"/>
    <w:bookmarkStart w:id="17" w:name="X23e1c0e43f55800771138f6d59ff221b028cebf"/>
    <w:p>
      <w:pPr>
        <w:pStyle w:val="Heading2"/>
      </w:pPr>
      <w:r>
        <w:t xml:space="preserve">2. Sales fell—but mix was considerably better than the headline</w:t>
      </w:r>
    </w:p>
    <w:p>
      <w:pPr>
        <w:pStyle w:val="FirstParagraph"/>
      </w:pPr>
      <w:r>
        <w:t xml:space="preserve">Ford’s second-quarter U.S. sales declined</w:t>
      </w:r>
      <w:r>
        <w:t xml:space="preserve"> </w:t>
      </w:r>
      <w:r>
        <w:rPr>
          <w:b/>
          <w:bCs/>
        </w:rPr>
        <w:t xml:space="preserve">10% to 549,200 vehicles</w:t>
      </w:r>
      <w:r>
        <w:t xml:space="preserve">. The headline is weak, but management attributes much of the decline to the planned phase-out of Escape and Lincoln Corsair and a</w:t>
      </w:r>
      <w:r>
        <w:t xml:space="preserve"> </w:t>
      </w:r>
      <w:r>
        <w:rPr>
          <w:b/>
          <w:bCs/>
        </w:rPr>
        <w:t xml:space="preserve">69% reduction in daily-rental sales</w:t>
      </w:r>
      <w:r>
        <w:t xml:space="preserve">. Ford estimates sales would have increased about 0.5% excluding those transitions and assuming flat rental volume.</w:t>
      </w:r>
    </w:p>
    <w:p>
      <w:pPr>
        <w:pStyle w:val="BodyText"/>
      </w:pPr>
      <w:r>
        <w:t xml:space="preserve">The more favorable details include:</w:t>
      </w:r>
    </w:p>
    <w:p>
      <w:pPr>
        <w:pStyle w:val="Compact"/>
        <w:numPr>
          <w:ilvl w:val="0"/>
          <w:numId w:val="1005"/>
        </w:numPr>
      </w:pPr>
      <w:r>
        <w:t xml:space="preserve">Bronco, Explorer and Expedition first-half sales increased a combined 10.1%.</w:t>
      </w:r>
    </w:p>
    <w:p>
      <w:pPr>
        <w:pStyle w:val="Compact"/>
        <w:numPr>
          <w:ilvl w:val="0"/>
          <w:numId w:val="1005"/>
        </w:numPr>
      </w:pPr>
      <w:r>
        <w:t xml:space="preserve">Bronco posted record Q2 sales and outsold Jeep Wrangler.</w:t>
      </w:r>
    </w:p>
    <w:p>
      <w:pPr>
        <w:pStyle w:val="Compact"/>
        <w:numPr>
          <w:ilvl w:val="0"/>
          <w:numId w:val="1005"/>
        </w:numPr>
      </w:pPr>
      <w:r>
        <w:t xml:space="preserve">Maverick Hybrid Q2 sales increased 19.3% to a record 29,457.</w:t>
      </w:r>
    </w:p>
    <w:p>
      <w:pPr>
        <w:pStyle w:val="Compact"/>
        <w:numPr>
          <w:ilvl w:val="0"/>
          <w:numId w:val="1005"/>
        </w:numPr>
      </w:pPr>
      <w:r>
        <w:t xml:space="preserve">Off-road and performance packages represented 23.9% of first-half Ford sales.</w:t>
      </w:r>
    </w:p>
    <w:p>
      <w:pPr>
        <w:pStyle w:val="Compact"/>
        <w:numPr>
          <w:ilvl w:val="0"/>
          <w:numId w:val="1005"/>
        </w:numPr>
      </w:pPr>
      <w:r>
        <w:t xml:space="preserve">Expedition retail sales rose despite lower total sales caused by fleet timing.</w:t>
      </w:r>
    </w:p>
    <w:p>
      <w:pPr>
        <w:pStyle w:val="Compact"/>
        <w:numPr>
          <w:ilvl w:val="0"/>
          <w:numId w:val="1005"/>
        </w:numPr>
      </w:pPr>
      <w:r>
        <w:t xml:space="preserve">Ford’s estimated June retail share increased to 12.3%.</w:t>
      </w:r>
    </w:p>
    <w:p>
      <w:pPr>
        <w:pStyle w:val="Compact"/>
        <w:numPr>
          <w:ilvl w:val="0"/>
          <w:numId w:val="1005"/>
        </w:numPr>
      </w:pPr>
      <w:r>
        <w:t xml:space="preserve">Ford Pro paid software subscriptions exceeded 900,000, up about 20%.</w:t>
      </w:r>
    </w:p>
    <w:p>
      <w:pPr>
        <w:pStyle w:val="FirstParagraph"/>
      </w:pPr>
      <w:r>
        <w:t xml:space="preserve">These trends matter because large SUVs, trucks and specialty trims carry better economics than discontinued compact crossovers or rental deliveries. (</w:t>
      </w:r>
      <w:hyperlink r:id="rId9">
        <w:r>
          <w:rPr>
            <w:rStyle w:val="Hyperlink"/>
          </w:rPr>
          <w:t xml:space="preserve">shareholder.ford.com</w:t>
        </w:r>
      </w:hyperlink>
      <w:r>
        <w:t xml:space="preserve">)</w:t>
      </w:r>
    </w:p>
    <w:p>
      <w:pPr>
        <w:pStyle w:val="BodyText"/>
      </w:pPr>
      <w:r>
        <w:rPr>
          <w:b/>
          <w:bCs/>
        </w:rPr>
        <w:t xml:space="preserve">Key earnings question:</w:t>
      </w:r>
      <w:r>
        <w:t xml:space="preserve"> </w:t>
      </w:r>
      <w:r>
        <w:t xml:space="preserve">Did richer mix and pricing fully offset the volume decline, or did lower plant utilization and temporary supply costs overwhelm the benefit?</w:t>
      </w:r>
    </w:p>
    <w:p>
      <w:r>
        <w:pict>
          <v:rect style="width:0;height:1.5pt" o:hralign="center" o:hrstd="t" o:hr="t"/>
        </w:pict>
      </w:r>
    </w:p>
    <w:bookmarkEnd w:id="17"/>
    <w:bookmarkStart w:id="21" w:name="X6351d859f82336a08d7c031a464eaa3afa89981"/>
    <w:p>
      <w:pPr>
        <w:pStyle w:val="Heading2"/>
      </w:pPr>
      <w:r>
        <w:t xml:space="preserve">3. Ford Pro: still the profit engine, but the comparison is getting harder</w:t>
      </w:r>
    </w:p>
    <w:p>
      <w:pPr>
        <w:pStyle w:val="FirstParagraph"/>
      </w:pPr>
      <w:r>
        <w:t xml:space="preserve">Ford Pro remains the centerpiece of the equity story. In Q1 it generated approximately $1.7B of EBIT, and full-year guidance calls for</w:t>
      </w:r>
      <w:r>
        <w:t xml:space="preserve"> </w:t>
      </w:r>
      <m:oMath>
        <m:r>
          <m:t>6.5</m:t>
        </m:r>
        <m:r>
          <m:t>B</m:t>
        </m:r>
        <m:r>
          <m:rPr>
            <m:sty m:val="p"/>
          </m:rPr>
          <m:t>–</m:t>
        </m:r>
      </m:oMath>
      <w:r>
        <w:t xml:space="preserve">7.5B.</w:t>
      </w:r>
    </w:p>
    <w:p>
      <w:pPr>
        <w:pStyle w:val="BodyText"/>
      </w:pPr>
      <w:r>
        <w:t xml:space="preserve">The vehicle side may be constrained by delayed commercial production, particularly F-Series. But the higher-quality parts of the business continue to expand:</w:t>
      </w:r>
    </w:p>
    <w:p>
      <w:pPr>
        <w:pStyle w:val="Compact"/>
        <w:numPr>
          <w:ilvl w:val="0"/>
          <w:numId w:val="1006"/>
        </w:numPr>
      </w:pPr>
      <w:r>
        <w:t xml:space="preserve">More than 900,000 paid software subscriptions.</w:t>
      </w:r>
    </w:p>
    <w:p>
      <w:pPr>
        <w:pStyle w:val="Compact"/>
        <w:numPr>
          <w:ilvl w:val="0"/>
          <w:numId w:val="1006"/>
        </w:numPr>
      </w:pPr>
      <w:r>
        <w:t xml:space="preserve">Approximately 20% first-half subscription growth.</w:t>
      </w:r>
    </w:p>
    <w:p>
      <w:pPr>
        <w:pStyle w:val="Compact"/>
        <w:numPr>
          <w:ilvl w:val="0"/>
          <w:numId w:val="1006"/>
        </w:numPr>
      </w:pPr>
      <w:r>
        <w:t xml:space="preserve">A 40.4% share of the U.S. Class 1–7 commercial truck and van segment through April.</w:t>
      </w:r>
    </w:p>
    <w:p>
      <w:pPr>
        <w:pStyle w:val="Compact"/>
        <w:numPr>
          <w:ilvl w:val="0"/>
          <w:numId w:val="1006"/>
        </w:numPr>
      </w:pPr>
      <w:r>
        <w:t xml:space="preserve">Nearly 1.5 million remote-service experiences during Q2.</w:t>
      </w:r>
    </w:p>
    <w:p>
      <w:pPr>
        <w:pStyle w:val="Compact"/>
        <w:numPr>
          <w:ilvl w:val="0"/>
          <w:numId w:val="1006"/>
        </w:numPr>
      </w:pPr>
      <w:r>
        <w:t xml:space="preserve">Mobile-service experiences up 29% globally.</w:t>
      </w:r>
    </w:p>
    <w:p>
      <w:pPr>
        <w:pStyle w:val="FirstParagraph"/>
      </w:pPr>
      <w:r>
        <w:t xml:space="preserve">The Street expects roughly $1.68B of Q2 Ford Pro EBIT, down materially year over year. (</w:t>
      </w:r>
      <w:hyperlink r:id="rId18">
        <w:r>
          <w:rPr>
            <w:rStyle w:val="Hyperlink"/>
          </w:rPr>
          <w:t xml:space="preserve">zacks.com</w:t>
        </w:r>
      </w:hyperlink>
      <w:r>
        <w:t xml:space="preserve">)</w:t>
      </w:r>
    </w:p>
    <w:bookmarkStart w:id="19" w:name="what-would-be-encouraging"/>
    <w:p>
      <w:pPr>
        <w:pStyle w:val="Heading3"/>
      </w:pPr>
      <w:r>
        <w:t xml:space="preserve">What would be encouraging</w:t>
      </w:r>
    </w:p>
    <w:p>
      <w:pPr>
        <w:pStyle w:val="Compact"/>
        <w:numPr>
          <w:ilvl w:val="0"/>
          <w:numId w:val="1007"/>
        </w:numPr>
      </w:pPr>
      <w:r>
        <w:t xml:space="preserve">EBIT near or above $1.7B despite constrained truck availability.</w:t>
      </w:r>
    </w:p>
    <w:p>
      <w:pPr>
        <w:pStyle w:val="Compact"/>
        <w:numPr>
          <w:ilvl w:val="0"/>
          <w:numId w:val="1007"/>
        </w:numPr>
      </w:pPr>
      <w:r>
        <w:t xml:space="preserve">Continued subscription and average-revenue-per-user growth.</w:t>
      </w:r>
    </w:p>
    <w:p>
      <w:pPr>
        <w:pStyle w:val="Compact"/>
        <w:numPr>
          <w:ilvl w:val="0"/>
          <w:numId w:val="1007"/>
        </w:numPr>
      </w:pPr>
      <w:r>
        <w:t xml:space="preserve">Confirmation that delayed commercial orders were postponed rather than canceled.</w:t>
      </w:r>
    </w:p>
    <w:p>
      <w:pPr>
        <w:pStyle w:val="Compact"/>
        <w:numPr>
          <w:ilvl w:val="0"/>
          <w:numId w:val="1007"/>
        </w:numPr>
      </w:pPr>
      <w:r>
        <w:t xml:space="preserve">Stable commercial pricing, particularly for Super Duty.</w:t>
      </w:r>
    </w:p>
    <w:p>
      <w:pPr>
        <w:pStyle w:val="Compact"/>
        <w:numPr>
          <w:ilvl w:val="0"/>
          <w:numId w:val="1007"/>
        </w:numPr>
      </w:pPr>
      <w:r>
        <w:t xml:space="preserve">Confidence that recovered second-half production will lift Pro earnings.</w:t>
      </w:r>
    </w:p>
    <w:bookmarkEnd w:id="19"/>
    <w:bookmarkStart w:id="20" w:name="what-would-concern-investors"/>
    <w:p>
      <w:pPr>
        <w:pStyle w:val="Heading3"/>
      </w:pPr>
      <w:r>
        <w:t xml:space="preserve">What would concern investors</w:t>
      </w:r>
    </w:p>
    <w:p>
      <w:pPr>
        <w:pStyle w:val="Compact"/>
        <w:numPr>
          <w:ilvl w:val="0"/>
          <w:numId w:val="1008"/>
        </w:numPr>
      </w:pPr>
      <w:r>
        <w:t xml:space="preserve">Fleet cancellations rather than simple delivery timing.</w:t>
      </w:r>
    </w:p>
    <w:p>
      <w:pPr>
        <w:pStyle w:val="Compact"/>
        <w:numPr>
          <w:ilvl w:val="0"/>
          <w:numId w:val="1008"/>
        </w:numPr>
      </w:pPr>
      <w:r>
        <w:t xml:space="preserve">Higher commercial incentives.</w:t>
      </w:r>
    </w:p>
    <w:p>
      <w:pPr>
        <w:pStyle w:val="Compact"/>
        <w:numPr>
          <w:ilvl w:val="0"/>
          <w:numId w:val="1008"/>
        </w:numPr>
      </w:pPr>
      <w:r>
        <w:t xml:space="preserve">Slowing software growth.</w:t>
      </w:r>
    </w:p>
    <w:p>
      <w:pPr>
        <w:pStyle w:val="Compact"/>
        <w:numPr>
          <w:ilvl w:val="0"/>
          <w:numId w:val="1008"/>
        </w:numPr>
      </w:pPr>
      <w:r>
        <w:t xml:space="preserve">A reduction to the</w:t>
      </w:r>
      <w:r>
        <w:t xml:space="preserve"> </w:t>
      </w:r>
      <m:oMath>
        <m:r>
          <m:t>6.5</m:t>
        </m:r>
        <m:r>
          <m:t>B</m:t>
        </m:r>
        <m:r>
          <m:rPr>
            <m:sty m:val="p"/>
          </m:rPr>
          <m:t>–</m:t>
        </m:r>
      </m:oMath>
      <w:r>
        <w:t xml:space="preserve">7.5B segment outlook.</w:t>
      </w:r>
    </w:p>
    <w:p>
      <w:r>
        <w:pict>
          <v:rect style="width:0;height:1.5pt" o:hralign="center" o:hrstd="t" o:hr="t"/>
        </w:pict>
      </w:r>
    </w:p>
    <w:bookmarkEnd w:id="20"/>
    <w:bookmarkEnd w:id="21"/>
    <w:bookmarkStart w:id="22" w:name="Xd628a12478f8a4f885863c5eeab4e39590f8267"/>
    <w:p>
      <w:pPr>
        <w:pStyle w:val="Heading2"/>
      </w:pPr>
      <w:r>
        <w:t xml:space="preserve">4. Model e: improvement is expected, but investment is now ramping</w:t>
      </w:r>
    </w:p>
    <w:p>
      <w:pPr>
        <w:pStyle w:val="FirstParagraph"/>
      </w:pPr>
      <w:r>
        <w:t xml:space="preserve">Ford Model e lost</w:t>
      </w:r>
      <w:r>
        <w:t xml:space="preserve"> </w:t>
      </w:r>
      <m:oMath>
        <m:r>
          <m:t>777</m:t>
        </m:r>
        <m:r>
          <m:t>M</m:t>
        </m:r>
        <m:r>
          <m:t>i</m:t>
        </m:r>
        <m:r>
          <m:t>n</m:t>
        </m:r>
        <m:r>
          <m:t>Q</m:t>
        </m:r>
        <m:r>
          <m:t>1</m:t>
        </m:r>
        <m:r>
          <m:rPr>
            <m:sty m:val="p"/>
          </m:rPr>
          <m:t>,</m:t>
        </m:r>
        <m:r>
          <m:t>w</m:t>
        </m:r>
        <m:r>
          <m:t>h</m:t>
        </m:r>
        <m:r>
          <m:t>i</m:t>
        </m:r>
        <m:r>
          <m:t>c</m:t>
        </m:r>
        <m:r>
          <m:t>h</m:t>
        </m:r>
        <m:r>
          <m:t>m</m:t>
        </m:r>
        <m:r>
          <m:t>a</m:t>
        </m:r>
        <m:r>
          <m:t>n</m:t>
        </m:r>
        <m:r>
          <m:t>a</m:t>
        </m:r>
        <m:r>
          <m:t>g</m:t>
        </m:r>
        <m:r>
          <m:t>e</m:t>
        </m:r>
        <m:r>
          <m:t>m</m:t>
        </m:r>
        <m:r>
          <m:t>e</m:t>
        </m:r>
        <m:r>
          <m:t>n</m:t>
        </m:r>
        <m:r>
          <m:t>t</m:t>
        </m:r>
        <m:r>
          <m:t>w</m:t>
        </m:r>
        <m:r>
          <m:t>a</m:t>
        </m:r>
        <m:r>
          <m:t>r</m:t>
        </m:r>
        <m:r>
          <m:t>n</m:t>
        </m:r>
        <m:r>
          <m:t>e</m:t>
        </m:r>
        <m:r>
          <m:t>d</m:t>
        </m:r>
        <m:r>
          <m:t>w</m:t>
        </m:r>
        <m:r>
          <m:t>o</m:t>
        </m:r>
        <m:r>
          <m:t>u</m:t>
        </m:r>
        <m:r>
          <m:t>l</m:t>
        </m:r>
        <m:r>
          <m:t>d</m:t>
        </m:r>
        <m:r>
          <m:t>b</m:t>
        </m:r>
        <m:r>
          <m:t>e</m:t>
        </m:r>
        <m:r>
          <m:t>i</m:t>
        </m:r>
        <m:r>
          <m:t>t</m:t>
        </m:r>
        <m:r>
          <m:t>s</m:t>
        </m:r>
        <m:r>
          <m:rPr>
            <m:sty m:val="p"/>
          </m:rPr>
          <m:t>*</m:t>
        </m:r>
        <m:r>
          <m:rPr>
            <m:sty m:val="p"/>
          </m:rPr>
          <m:t>*</m:t>
        </m:r>
        <m:r>
          <m:t>b</m:t>
        </m:r>
        <m:r>
          <m:t>e</m:t>
        </m:r>
        <m:r>
          <m:t>s</m:t>
        </m:r>
        <m:r>
          <m:t>t</m:t>
        </m:r>
        <m:r>
          <m:t>q</m:t>
        </m:r>
        <m:r>
          <m:t>u</m:t>
        </m:r>
        <m:r>
          <m:t>a</m:t>
        </m:r>
        <m:r>
          <m:t>r</m:t>
        </m:r>
        <m:r>
          <m:t>t</m:t>
        </m:r>
        <m:r>
          <m:t>e</m:t>
        </m:r>
        <m:r>
          <m:t>r</m:t>
        </m:r>
        <m:r>
          <m:t>o</m:t>
        </m:r>
        <m:r>
          <m:t>f</m:t>
        </m:r>
        <m:r>
          <m:t>2026</m:t>
        </m:r>
        <m:r>
          <m:rPr>
            <m:sty m:val="p"/>
          </m:rPr>
          <m:t>*</m:t>
        </m:r>
        <m:r>
          <m:rPr>
            <m:sty m:val="p"/>
          </m:rPr>
          <m:t>*</m:t>
        </m:r>
        <m:r>
          <m:rPr>
            <m:sty m:val="p"/>
          </m:rPr>
          <m:t>.</m:t>
        </m:r>
        <m:r>
          <m:t>C</m:t>
        </m:r>
        <m:r>
          <m:t>o</m:t>
        </m:r>
        <m:r>
          <m:t>n</m:t>
        </m:r>
        <m:r>
          <m:t>s</m:t>
        </m:r>
        <m:r>
          <m:t>e</m:t>
        </m:r>
        <m:r>
          <m:t>n</m:t>
        </m:r>
        <m:r>
          <m:t>s</m:t>
        </m:r>
        <m:r>
          <m:t>u</m:t>
        </m:r>
        <m:r>
          <m:t>s</m:t>
        </m:r>
        <m:r>
          <m:t>c</m:t>
        </m:r>
        <m:r>
          <m:t>a</m:t>
        </m:r>
        <m:r>
          <m:t>l</m:t>
        </m:r>
        <m:r>
          <m:t>l</m:t>
        </m:r>
        <m:r>
          <m:t>s</m:t>
        </m:r>
        <m:r>
          <m:t>f</m:t>
        </m:r>
        <m:r>
          <m:t>o</m:t>
        </m:r>
        <m:r>
          <m:t>r</m:t>
        </m:r>
        <m:r>
          <m:t>a</m:t>
        </m:r>
        <m:r>
          <m:t>r</m:t>
        </m:r>
        <m:r>
          <m:t>o</m:t>
        </m:r>
        <m:r>
          <m:t>u</m:t>
        </m:r>
        <m:r>
          <m:t>g</m:t>
        </m:r>
        <m:r>
          <m:t>h</m:t>
        </m:r>
        <m:r>
          <m:t>l</m:t>
        </m:r>
        <m:r>
          <m:t>y</m:t>
        </m:r>
        <m:r>
          <m:rPr>
            <m:sty m:val="p"/>
          </m:rPr>
          <m:t>*</m:t>
        </m:r>
        <m:r>
          <m:rPr>
            <m:sty m:val="p"/>
          </m:rPr>
          <m:t>*</m:t>
        </m:r>
      </m:oMath>
      <w:r>
        <w:t xml:space="preserve">1.26B Q2 loss**, modestly better than the prior-year period but sharply worse sequentially. (</w:t>
      </w:r>
      <w:hyperlink r:id="rId18">
        <w:r>
          <w:rPr>
            <w:rStyle w:val="Hyperlink"/>
          </w:rPr>
          <w:t xml:space="preserve">zacks.com</w:t>
        </w:r>
      </w:hyperlink>
      <w:r>
        <w:t xml:space="preserve">)</w:t>
      </w:r>
    </w:p>
    <w:p>
      <w:pPr>
        <w:pStyle w:val="BodyText"/>
      </w:pPr>
      <w:r>
        <w:t xml:space="preserve">Two forces are working in opposite directions:</w:t>
      </w:r>
    </w:p>
    <w:p>
      <w:pPr>
        <w:pStyle w:val="BodyText"/>
      </w:pPr>
      <w:r>
        <w:rPr>
          <w:b/>
          <w:bCs/>
        </w:rPr>
        <w:t xml:space="preserve">Positive</w:t>
      </w:r>
    </w:p>
    <w:p>
      <w:pPr>
        <w:pStyle w:val="Compact"/>
        <w:numPr>
          <w:ilvl w:val="0"/>
          <w:numId w:val="1009"/>
        </w:numPr>
      </w:pPr>
      <w:r>
        <w:t xml:space="preserve">Lower losses on first-generation EVs.</w:t>
      </w:r>
    </w:p>
    <w:p>
      <w:pPr>
        <w:pStyle w:val="Compact"/>
        <w:numPr>
          <w:ilvl w:val="0"/>
          <w:numId w:val="1009"/>
        </w:numPr>
      </w:pPr>
      <w:r>
        <w:t xml:space="preserve">Better matching of production to demand.</w:t>
      </w:r>
    </w:p>
    <w:p>
      <w:pPr>
        <w:pStyle w:val="Compact"/>
        <w:numPr>
          <w:ilvl w:val="0"/>
          <w:numId w:val="1009"/>
        </w:numPr>
      </w:pPr>
      <w:r>
        <w:t xml:space="preserve">Portfolio reductions and product cancellations.</w:t>
      </w:r>
    </w:p>
    <w:p>
      <w:pPr>
        <w:pStyle w:val="Compact"/>
        <w:numPr>
          <w:ilvl w:val="0"/>
          <w:numId w:val="1009"/>
        </w:numPr>
      </w:pPr>
      <w:r>
        <w:t xml:space="preserve">Potentially better economics from European products and partnerships.</w:t>
      </w:r>
    </w:p>
    <w:p>
      <w:pPr>
        <w:pStyle w:val="FirstParagraph"/>
      </w:pPr>
      <w:r>
        <w:rPr>
          <w:b/>
          <w:bCs/>
        </w:rPr>
        <w:t xml:space="preserve">Negative</w:t>
      </w:r>
    </w:p>
    <w:p>
      <w:pPr>
        <w:pStyle w:val="Compact"/>
        <w:numPr>
          <w:ilvl w:val="0"/>
          <w:numId w:val="1010"/>
        </w:numPr>
      </w:pPr>
      <w:r>
        <w:t xml:space="preserve">Approximately $1B of incremental 2026 investment in the Universal EV platform and Ford Energy.</w:t>
      </w:r>
    </w:p>
    <w:p>
      <w:pPr>
        <w:pStyle w:val="Compact"/>
        <w:numPr>
          <w:ilvl w:val="0"/>
          <w:numId w:val="1010"/>
        </w:numPr>
      </w:pPr>
      <w:r>
        <w:t xml:space="preserve">Spending accelerates through Q2, Q3 and Q4.</w:t>
      </w:r>
    </w:p>
    <w:p>
      <w:pPr>
        <w:pStyle w:val="Compact"/>
        <w:numPr>
          <w:ilvl w:val="0"/>
          <w:numId w:val="1010"/>
        </w:numPr>
      </w:pPr>
      <w:r>
        <w:t xml:space="preserve">The Universal EV pickup and stationary-storage businesses do not launch until 2027.</w:t>
      </w:r>
    </w:p>
    <w:p>
      <w:pPr>
        <w:pStyle w:val="Compact"/>
        <w:numPr>
          <w:ilvl w:val="0"/>
          <w:numId w:val="1010"/>
        </w:numPr>
      </w:pPr>
      <w:r>
        <w:t xml:space="preserve">Ford still expects a</w:t>
      </w:r>
      <w:r>
        <w:t xml:space="preserve"> </w:t>
      </w:r>
      <m:oMath>
        <m:r>
          <m:t>4</m:t>
        </m:r>
        <m:r>
          <m:t>B</m:t>
        </m:r>
        <m:r>
          <m:rPr>
            <m:sty m:val="p"/>
          </m:rPr>
          <m:t>–</m:t>
        </m:r>
      </m:oMath>
      <w:r>
        <w:t xml:space="preserve">4.5B full-year Model e loss.</w:t>
      </w:r>
    </w:p>
    <w:p>
      <w:pPr>
        <w:pStyle w:val="FirstParagraph"/>
      </w:pPr>
      <w:r>
        <w:t xml:space="preserve">Investors should not expect an immediate Model e turnaround. The more relevant questions are whether the current loss is controlled, whether the 2027 launches remain on schedule, and whether management still sees a credible path to segment profitability in 2029.</w:t>
      </w:r>
    </w:p>
    <w:p>
      <w:pPr>
        <w:pStyle w:val="BodyText"/>
      </w:pPr>
      <w:r>
        <w:t xml:space="preserve">The newly announced Ford-Geely venture in Spain could also come up. The arrangement is intended to improve utilization at Ford’s Valencia plant and support jointly developed electric SUVs for Europe, with initial vehicle production planned for 2028. (</w:t>
      </w:r>
      <w:hyperlink r:id="rId9">
        <w:r>
          <w:rPr>
            <w:rStyle w:val="Hyperlink"/>
          </w:rPr>
          <w:t xml:space="preserve">shareholder.ford.com</w:t>
        </w:r>
      </w:hyperlink>
      <w:r>
        <w:t xml:space="preserve">)</w:t>
      </w:r>
    </w:p>
    <w:p>
      <w:r>
        <w:pict>
          <v:rect style="width:0;height:1.5pt" o:hralign="center" o:hrstd="t" o:hr="t"/>
        </w:pict>
      </w:r>
    </w:p>
    <w:bookmarkEnd w:id="22"/>
    <w:bookmarkStart w:id="27" w:name="X9a7ee8e12cb44975044f3fc0512faca22186ff9"/>
    <w:p>
      <w:pPr>
        <w:pStyle w:val="Heading2"/>
      </w:pPr>
      <w:r>
        <w:t xml:space="preserve">5. Guidance composition matters more than guidance retention</w:t>
      </w:r>
    </w:p>
    <w:p>
      <w:pPr>
        <w:pStyle w:val="FirstParagraph"/>
      </w:pPr>
      <w:r>
        <w:t xml:space="preserve">Simply reiterating</w:t>
      </w:r>
      <w:r>
        <w:t xml:space="preserve"> </w:t>
      </w:r>
      <m:oMath>
        <m:r>
          <m:t>8.5</m:t>
        </m:r>
        <m:r>
          <m:t>B</m:t>
        </m:r>
        <m:r>
          <m:rPr>
            <m:sty m:val="p"/>
          </m:rPr>
          <m:t>–</m:t>
        </m:r>
      </m:oMath>
      <w:r>
        <w:t xml:space="preserve">10.5B of adjusted EBIT may not be enough. Investors should examine</w:t>
      </w:r>
      <w:r>
        <w:t xml:space="preserve"> </w:t>
      </w:r>
      <w:r>
        <w:rPr>
          <w:i/>
          <w:iCs/>
        </w:rPr>
        <w:t xml:space="preserve">why</w:t>
      </w:r>
      <w:r>
        <w:t xml:space="preserve"> </w:t>
      </w:r>
      <w:r>
        <w:t xml:space="preserve">Ford is able to retain it.</w:t>
      </w:r>
    </w:p>
    <w:p>
      <w:pPr>
        <w:pStyle w:val="BodyText"/>
      </w:pPr>
      <w:r>
        <w:t xml:space="preserve">The current bridge contains several large and partly offsetting items:</w:t>
      </w:r>
    </w:p>
    <w:bookmarkStart w:id="23" w:name="tailwinds"/>
    <w:p>
      <w:pPr>
        <w:pStyle w:val="Heading3"/>
      </w:pPr>
      <w:r>
        <w:t xml:space="preserve">Tailwinds</w:t>
      </w:r>
    </w:p>
    <w:p>
      <w:pPr>
        <w:pStyle w:val="Compact"/>
        <w:numPr>
          <w:ilvl w:val="0"/>
          <w:numId w:val="1011"/>
        </w:numPr>
      </w:pPr>
      <w:r>
        <w:t xml:space="preserve">$1.3B one-time Q1 tariff benefit.</w:t>
      </w:r>
    </w:p>
    <w:p>
      <w:pPr>
        <w:pStyle w:val="Compact"/>
        <w:numPr>
          <w:ilvl w:val="0"/>
          <w:numId w:val="1011"/>
        </w:numPr>
      </w:pPr>
      <w:r>
        <w:t xml:space="preserve">Approximately $1B net improvement from the Novelis recovery.</w:t>
      </w:r>
    </w:p>
    <w:p>
      <w:pPr>
        <w:pStyle w:val="Compact"/>
        <w:numPr>
          <w:ilvl w:val="0"/>
          <w:numId w:val="1011"/>
        </w:numPr>
      </w:pPr>
      <w:r>
        <w:t xml:space="preserve">$1B target for material and warranty-cost improvement.</w:t>
      </w:r>
    </w:p>
    <w:p>
      <w:pPr>
        <w:pStyle w:val="Compact"/>
        <w:numPr>
          <w:ilvl w:val="0"/>
          <w:numId w:val="1011"/>
        </w:numPr>
      </w:pPr>
      <w:r>
        <w:t xml:space="preserve">Higher pricing and richer product mix.</w:t>
      </w:r>
    </w:p>
    <w:p>
      <w:pPr>
        <w:pStyle w:val="Compact"/>
        <w:numPr>
          <w:ilvl w:val="0"/>
          <w:numId w:val="1011"/>
        </w:numPr>
      </w:pPr>
      <w:r>
        <w:t xml:space="preserve">Continued software and physical-services growth.</w:t>
      </w:r>
    </w:p>
    <w:bookmarkEnd w:id="23"/>
    <w:bookmarkStart w:id="24" w:name="headwinds"/>
    <w:p>
      <w:pPr>
        <w:pStyle w:val="Heading3"/>
      </w:pPr>
      <w:r>
        <w:t xml:space="preserve">Headwinds</w:t>
      </w:r>
    </w:p>
    <w:p>
      <w:pPr>
        <w:pStyle w:val="Compact"/>
        <w:numPr>
          <w:ilvl w:val="0"/>
          <w:numId w:val="1012"/>
        </w:numPr>
      </w:pPr>
      <w:r>
        <w:t xml:space="preserve">More than $2B of commodity pressure, roughly $1B worse than originally expected.</w:t>
      </w:r>
    </w:p>
    <w:p>
      <w:pPr>
        <w:pStyle w:val="Compact"/>
        <w:numPr>
          <w:ilvl w:val="0"/>
          <w:numId w:val="1012"/>
        </w:numPr>
      </w:pPr>
      <m:oMath>
        <m:r>
          <m:t>1.5</m:t>
        </m:r>
        <m:r>
          <m:t>B</m:t>
        </m:r>
        <m:r>
          <m:rPr>
            <m:sty m:val="p"/>
          </m:rPr>
          <m:t>–</m:t>
        </m:r>
      </m:oMath>
      <w:r>
        <w:t xml:space="preserve">2B of temporary alternative-aluminum costs.</w:t>
      </w:r>
    </w:p>
    <w:p>
      <w:pPr>
        <w:pStyle w:val="Compact"/>
        <w:numPr>
          <w:ilvl w:val="0"/>
          <w:numId w:val="1012"/>
        </w:numPr>
      </w:pPr>
      <w:r>
        <w:t xml:space="preserve">Approximately $1B of ongoing tariff expense.</w:t>
      </w:r>
    </w:p>
    <w:p>
      <w:pPr>
        <w:pStyle w:val="Compact"/>
        <w:numPr>
          <w:ilvl w:val="0"/>
          <w:numId w:val="1012"/>
        </w:numPr>
      </w:pPr>
      <w:r>
        <w:t xml:space="preserve">Approximately $1B of incremental Model e and energy-storage investment.</w:t>
      </w:r>
    </w:p>
    <w:p>
      <w:pPr>
        <w:pStyle w:val="Compact"/>
        <w:numPr>
          <w:ilvl w:val="0"/>
          <w:numId w:val="1012"/>
        </w:numPr>
      </w:pPr>
      <w:r>
        <w:t xml:space="preserve">Lower Q2 vehicle volume and model phase-outs.</w:t>
      </w:r>
    </w:p>
    <w:bookmarkEnd w:id="24"/>
    <w:bookmarkStart w:id="25" w:name="the-best-outcome"/>
    <w:p>
      <w:pPr>
        <w:pStyle w:val="Heading3"/>
      </w:pPr>
      <w:r>
        <w:t xml:space="preserve">The best outcome</w:t>
      </w:r>
    </w:p>
    <w:p>
      <w:pPr>
        <w:pStyle w:val="FirstParagraph"/>
      </w:pPr>
      <w:r>
        <w:t xml:space="preserve">Ford retains or raises guidance because core pricing, mix, cost reductions and services are outperforming—not merely because one-time benefits offset newly identified costs.</w:t>
      </w:r>
    </w:p>
    <w:bookmarkEnd w:id="25"/>
    <w:bookmarkStart w:id="26" w:name="the-weaker-outcome"/>
    <w:p>
      <w:pPr>
        <w:pStyle w:val="Heading3"/>
      </w:pPr>
      <w:r>
        <w:t xml:space="preserve">The weaker outcome</w:t>
      </w:r>
    </w:p>
    <w:p>
      <w:pPr>
        <w:pStyle w:val="FirstParagraph"/>
      </w:pPr>
      <w:r>
        <w:t xml:space="preserve">Ford technically reiterates guidance, but only by leaning on the Q1 tariff benefit, deferred investment, favorable accounting timing or the very top end of the Novelis recovery assumption.</w:t>
      </w:r>
    </w:p>
    <w:p>
      <w:r>
        <w:pict>
          <v:rect style="width:0;height:1.5pt" o:hralign="center" o:hrstd="t" o:hr="t"/>
        </w:pict>
      </w:r>
    </w:p>
    <w:bookmarkEnd w:id="26"/>
    <w:bookmarkEnd w:id="27"/>
    <w:bookmarkStart w:id="32" w:name="other-items-to-watch"/>
    <w:p>
      <w:pPr>
        <w:pStyle w:val="Heading2"/>
      </w:pPr>
      <w:r>
        <w:t xml:space="preserve">Other items to watch</w:t>
      </w:r>
    </w:p>
    <w:bookmarkStart w:id="28" w:name="free-cash-flow"/>
    <w:p>
      <w:pPr>
        <w:pStyle w:val="Heading3"/>
      </w:pPr>
      <w:r>
        <w:t xml:space="preserve">Free cash flow</w:t>
      </w:r>
    </w:p>
    <w:p>
      <w:pPr>
        <w:pStyle w:val="FirstParagraph"/>
      </w:pPr>
      <w:r>
        <w:t xml:space="preserve">Q1 adjusted free cash flow was</w:t>
      </w:r>
      <w:r>
        <w:t xml:space="preserve"> </w:t>
      </w:r>
      <w:r>
        <w:rPr>
          <w:b/>
          <w:bCs/>
        </w:rPr>
        <w:t xml:space="preserve">negative $1.9B</w:t>
      </w:r>
      <w:r>
        <w:t xml:space="preserve">, reflecting working-capital timing, investment and seasonal payments. Management expects those effects to reverse and continues to guide to</w:t>
      </w:r>
      <w:r>
        <w:t xml:space="preserve"> </w:t>
      </w:r>
      <m:oMath>
        <m:r>
          <m:t>5</m:t>
        </m:r>
        <m:r>
          <m:t>B</m:t>
        </m:r>
        <m:r>
          <m:rPr>
            <m:sty m:val="p"/>
          </m:rPr>
          <m:t>–</m:t>
        </m:r>
      </m:oMath>
      <w:r>
        <w:t xml:space="preserve">6B for the year.</w:t>
      </w:r>
    </w:p>
    <w:p>
      <w:pPr>
        <w:pStyle w:val="BodyText"/>
      </w:pPr>
      <w:r>
        <w:t xml:space="preserve">A large Q2 cash inflow is not essential, but investors need:</w:t>
      </w:r>
    </w:p>
    <w:p>
      <w:pPr>
        <w:pStyle w:val="Compact"/>
        <w:numPr>
          <w:ilvl w:val="0"/>
          <w:numId w:val="1013"/>
        </w:numPr>
      </w:pPr>
      <w:r>
        <w:t xml:space="preserve">Evidence of working-capital normalization.</w:t>
      </w:r>
    </w:p>
    <w:p>
      <w:pPr>
        <w:pStyle w:val="Compact"/>
        <w:numPr>
          <w:ilvl w:val="0"/>
          <w:numId w:val="1013"/>
        </w:numPr>
      </w:pPr>
      <w:r>
        <w:t xml:space="preserve">No increase to the</w:t>
      </w:r>
      <w:r>
        <w:t xml:space="preserve"> </w:t>
      </w:r>
      <m:oMath>
        <m:r>
          <m:t>9.5</m:t>
        </m:r>
        <m:r>
          <m:t>B</m:t>
        </m:r>
        <m:r>
          <m:rPr>
            <m:sty m:val="p"/>
          </m:rPr>
          <m:t>–</m:t>
        </m:r>
      </m:oMath>
      <w:r>
        <w:t xml:space="preserve">10.5B capital-spending range.</w:t>
      </w:r>
    </w:p>
    <w:p>
      <w:pPr>
        <w:pStyle w:val="Compact"/>
        <w:numPr>
          <w:ilvl w:val="0"/>
          <w:numId w:val="1013"/>
        </w:numPr>
      </w:pPr>
      <w:r>
        <w:t xml:space="preserve">Confidence that the annual cash target does not depend on uncertain tariff-refund timing.</w:t>
      </w:r>
    </w:p>
    <w:p>
      <w:pPr>
        <w:pStyle w:val="Compact"/>
        <w:numPr>
          <w:ilvl w:val="0"/>
          <w:numId w:val="1013"/>
        </w:numPr>
      </w:pPr>
      <w:r>
        <w:t xml:space="preserve">Continued support for the $0.15 quarterly dividend.</w:t>
      </w:r>
    </w:p>
    <w:bookmarkEnd w:id="28"/>
    <w:bookmarkStart w:id="29" w:name="ford-credit"/>
    <w:p>
      <w:pPr>
        <w:pStyle w:val="Heading3"/>
      </w:pPr>
      <w:r>
        <w:t xml:space="preserve">Ford Credit</w:t>
      </w:r>
    </w:p>
    <w:p>
      <w:pPr>
        <w:pStyle w:val="FirstParagraph"/>
      </w:pPr>
      <w:r>
        <w:t xml:space="preserve">Ford Credit contributed $783M of Q1 EBT but is expected to produce closer to $546M in Q2. The portfolio has remained healthy, so watch for:</w:t>
      </w:r>
    </w:p>
    <w:p>
      <w:pPr>
        <w:pStyle w:val="Compact"/>
        <w:numPr>
          <w:ilvl w:val="0"/>
          <w:numId w:val="1014"/>
        </w:numPr>
      </w:pPr>
      <w:r>
        <w:t xml:space="preserve">Delinquencies and credit losses.</w:t>
      </w:r>
    </w:p>
    <w:p>
      <w:pPr>
        <w:pStyle w:val="Compact"/>
        <w:numPr>
          <w:ilvl w:val="0"/>
          <w:numId w:val="1014"/>
        </w:numPr>
      </w:pPr>
      <w:r>
        <w:t xml:space="preserve">Used-vehicle residual values.</w:t>
      </w:r>
    </w:p>
    <w:p>
      <w:pPr>
        <w:pStyle w:val="Compact"/>
        <w:numPr>
          <w:ilvl w:val="0"/>
          <w:numId w:val="1014"/>
        </w:numPr>
      </w:pPr>
      <w:r>
        <w:t xml:space="preserve">Financing margins.</w:t>
      </w:r>
    </w:p>
    <w:p>
      <w:pPr>
        <w:pStyle w:val="Compact"/>
        <w:numPr>
          <w:ilvl w:val="0"/>
          <w:numId w:val="1014"/>
        </w:numPr>
      </w:pPr>
      <w:r>
        <w:t xml:space="preserve">Whether higher fuel prices and interest rates are affecting affordability.</w:t>
      </w:r>
    </w:p>
    <w:p>
      <w:pPr>
        <w:pStyle w:val="Compact"/>
        <w:numPr>
          <w:ilvl w:val="0"/>
          <w:numId w:val="1014"/>
        </w:numPr>
      </w:pPr>
      <w:r>
        <w:t xml:space="preserve">Any change to the approximately $2.5B full-year EBT outlook.</w:t>
      </w:r>
    </w:p>
    <w:bookmarkEnd w:id="29"/>
    <w:bookmarkStart w:id="30" w:name="quality-and-warranty"/>
    <w:p>
      <w:pPr>
        <w:pStyle w:val="Heading3"/>
      </w:pPr>
      <w:r>
        <w:t xml:space="preserve">Quality and warranty</w:t>
      </w:r>
    </w:p>
    <w:p>
      <w:pPr>
        <w:pStyle w:val="FirstParagraph"/>
      </w:pPr>
      <w:r>
        <w:t xml:space="preserve">Ford has reported improvement in recent-model initial quality, and the company was named the top mainstream brand in the 2026 J.D. Power U.S. Initial Quality Study. That is encouraging, but the financial proof must appear in warranty expense and recall costs. (</w:t>
      </w:r>
      <w:hyperlink r:id="rId9">
        <w:r>
          <w:rPr>
            <w:rStyle w:val="Hyperlink"/>
          </w:rPr>
          <w:t xml:space="preserve">shareholder.ford.com</w:t>
        </w:r>
      </w:hyperlink>
      <w:r>
        <w:t xml:space="preserve">)</w:t>
      </w:r>
    </w:p>
    <w:p>
      <w:pPr>
        <w:pStyle w:val="BodyText"/>
      </w:pPr>
      <w:r>
        <w:t xml:space="preserve">Software recalls repaired over the air are significantly less costly than mechanical campaigns, so recall counts alone are an incomplete metric. Investors should focus on:</w:t>
      </w:r>
    </w:p>
    <w:p>
      <w:pPr>
        <w:pStyle w:val="Compact"/>
        <w:numPr>
          <w:ilvl w:val="0"/>
          <w:numId w:val="1015"/>
        </w:numPr>
      </w:pPr>
      <w:r>
        <w:t xml:space="preserve">Warranty expense per vehicle.</w:t>
      </w:r>
    </w:p>
    <w:p>
      <w:pPr>
        <w:pStyle w:val="Compact"/>
        <w:numPr>
          <w:ilvl w:val="0"/>
          <w:numId w:val="1015"/>
        </w:numPr>
      </w:pPr>
      <w:r>
        <w:t xml:space="preserve">Coverage costs on recent model years.</w:t>
      </w:r>
    </w:p>
    <w:p>
      <w:pPr>
        <w:pStyle w:val="Compact"/>
        <w:numPr>
          <w:ilvl w:val="0"/>
          <w:numId w:val="1015"/>
        </w:numPr>
      </w:pPr>
      <w:r>
        <w:t xml:space="preserve">Cash cost of field-service actions.</w:t>
      </w:r>
    </w:p>
    <w:p>
      <w:pPr>
        <w:pStyle w:val="Compact"/>
        <w:numPr>
          <w:ilvl w:val="0"/>
          <w:numId w:val="1015"/>
        </w:numPr>
      </w:pPr>
      <w:r>
        <w:t xml:space="preserve">Whether the $1B material-and-warranty savings target remains intact.</w:t>
      </w:r>
    </w:p>
    <w:bookmarkEnd w:id="30"/>
    <w:bookmarkStart w:id="31" w:name="tariffs-and-canada"/>
    <w:p>
      <w:pPr>
        <w:pStyle w:val="Heading3"/>
      </w:pPr>
      <w:r>
        <w:t xml:space="preserve">Tariffs and Canada</w:t>
      </w:r>
    </w:p>
    <w:p>
      <w:pPr>
        <w:pStyle w:val="FirstParagraph"/>
      </w:pPr>
      <w:r>
        <w:t xml:space="preserve">Trade policy remains unusually fluid. The most immediate concern is whether additional tariffs involving Canada would affect Ford’s North American supply chain or the Super Duty capacity ramp at Oakville.</w:t>
      </w:r>
    </w:p>
    <w:p>
      <w:pPr>
        <w:pStyle w:val="BodyText"/>
      </w:pPr>
      <w:r>
        <w:t xml:space="preserve">Management commentary is likely to be more important than whatever tariff expense was recorded in Q2. Investors need an updated estimate of Ford’s</w:t>
      </w:r>
      <w:r>
        <w:t xml:space="preserve"> </w:t>
      </w:r>
      <w:r>
        <w:rPr>
          <w:b/>
          <w:bCs/>
        </w:rPr>
        <w:t xml:space="preserve">net annual tariff exposure</w:t>
      </w:r>
      <w:r>
        <w:t xml:space="preserve">, including identified mitigation actions.</w:t>
      </w:r>
    </w:p>
    <w:p>
      <w:r>
        <w:pict>
          <v:rect style="width:0;height:1.5pt" o:hralign="center" o:hrstd="t" o:hr="t"/>
        </w:pict>
      </w:r>
    </w:p>
    <w:bookmarkEnd w:id="31"/>
    <w:bookmarkEnd w:id="32"/>
    <w:bookmarkStart w:id="36" w:name="bull-base-and-bear-interpretations"/>
    <w:p>
      <w:pPr>
        <w:pStyle w:val="Heading2"/>
      </w:pPr>
      <w:r>
        <w:t xml:space="preserve">Bull, base and bear interpretations</w:t>
      </w:r>
    </w:p>
    <w:bookmarkStart w:id="33" w:name="bull-case"/>
    <w:p>
      <w:pPr>
        <w:pStyle w:val="Heading3"/>
      </w:pPr>
      <w:r>
        <w:t xml:space="preserve">Bull case</w:t>
      </w:r>
    </w:p>
    <w:p>
      <w:pPr>
        <w:pStyle w:val="Compact"/>
        <w:numPr>
          <w:ilvl w:val="0"/>
          <w:numId w:val="1016"/>
        </w:numPr>
      </w:pPr>
      <w:r>
        <w:t xml:space="preserve">Adjusted EPS above approximately $0.36.</w:t>
      </w:r>
    </w:p>
    <w:p>
      <w:pPr>
        <w:pStyle w:val="Compact"/>
        <w:numPr>
          <w:ilvl w:val="0"/>
          <w:numId w:val="1016"/>
        </w:numPr>
      </w:pPr>
      <w:r>
        <w:t xml:space="preserve">Adjusted EBIT around or above $2.3B.</w:t>
      </w:r>
    </w:p>
    <w:p>
      <w:pPr>
        <w:pStyle w:val="Compact"/>
        <w:numPr>
          <w:ilvl w:val="0"/>
          <w:numId w:val="1016"/>
        </w:numPr>
      </w:pPr>
      <w:r>
        <w:t xml:space="preserve">Blue and Pro outperform segment expectations.</w:t>
      </w:r>
    </w:p>
    <w:p>
      <w:pPr>
        <w:pStyle w:val="Compact"/>
        <w:numPr>
          <w:ilvl w:val="0"/>
          <w:numId w:val="1016"/>
        </w:numPr>
      </w:pPr>
      <w:r>
        <w:t xml:space="preserve">Novelis recovery remains firmly on schedule.</w:t>
      </w:r>
    </w:p>
    <w:p>
      <w:pPr>
        <w:pStyle w:val="Compact"/>
        <w:numPr>
          <w:ilvl w:val="0"/>
          <w:numId w:val="1016"/>
        </w:numPr>
      </w:pPr>
      <w:r>
        <w:t xml:space="preserve">Pricing and incentives stay disciplined despite lower sales.</w:t>
      </w:r>
    </w:p>
    <w:p>
      <w:pPr>
        <w:pStyle w:val="Compact"/>
        <w:numPr>
          <w:ilvl w:val="0"/>
          <w:numId w:val="1016"/>
        </w:numPr>
      </w:pPr>
      <w:r>
        <w:t xml:space="preserve">Full-year EBIT guidance is raised or management signals performance toward the upper half.</w:t>
      </w:r>
    </w:p>
    <w:p>
      <w:pPr>
        <w:pStyle w:val="Compact"/>
        <w:numPr>
          <w:ilvl w:val="0"/>
          <w:numId w:val="1016"/>
        </w:numPr>
      </w:pPr>
      <w:r>
        <w:t xml:space="preserve">Free-cash-flow guidance is reiterated with improving confidence.</w:t>
      </w:r>
    </w:p>
    <w:p>
      <w:pPr>
        <w:pStyle w:val="Compact"/>
        <w:numPr>
          <w:ilvl w:val="0"/>
          <w:numId w:val="1016"/>
        </w:numPr>
      </w:pPr>
      <w:r>
        <w:t xml:space="preserve">Model e loss is controlled despite rising investment.</w:t>
      </w:r>
    </w:p>
    <w:bookmarkEnd w:id="33"/>
    <w:bookmarkStart w:id="34" w:name="base-case"/>
    <w:p>
      <w:pPr>
        <w:pStyle w:val="Heading3"/>
      </w:pPr>
      <w:r>
        <w:t xml:space="preserve">Base case</w:t>
      </w:r>
    </w:p>
    <w:p>
      <w:pPr>
        <w:pStyle w:val="Compact"/>
        <w:numPr>
          <w:ilvl w:val="0"/>
          <w:numId w:val="1017"/>
        </w:numPr>
      </w:pPr>
      <w:r>
        <w:t xml:space="preserve">EPS around</w:t>
      </w:r>
      <w:r>
        <w:t xml:space="preserve"> </w:t>
      </w:r>
      <m:oMath>
        <m:r>
          <m:t>0.33</m:t>
        </m:r>
        <m:r>
          <m:rPr>
            <m:sty m:val="p"/>
          </m:rPr>
          <m:t>–</m:t>
        </m:r>
      </m:oMath>
      <w:r>
        <w:t xml:space="preserve">0.36.</w:t>
      </w:r>
    </w:p>
    <w:p>
      <w:pPr>
        <w:pStyle w:val="Compact"/>
        <w:numPr>
          <w:ilvl w:val="0"/>
          <w:numId w:val="1017"/>
        </w:numPr>
      </w:pPr>
      <w:r>
        <w:t xml:space="preserve">Adjusted EBIT approximately</w:t>
      </w:r>
      <w:r>
        <w:t xml:space="preserve"> </w:t>
      </w:r>
      <m:oMath>
        <m:r>
          <m:t>1.8</m:t>
        </m:r>
        <m:r>
          <m:t>B</m:t>
        </m:r>
        <m:r>
          <m:rPr>
            <m:sty m:val="p"/>
          </m:rPr>
          <m:t>–</m:t>
        </m:r>
      </m:oMath>
      <w:r>
        <w:t xml:space="preserve">2.2B.</w:t>
      </w:r>
    </w:p>
    <w:p>
      <w:pPr>
        <w:pStyle w:val="Compact"/>
        <w:numPr>
          <w:ilvl w:val="0"/>
          <w:numId w:val="1017"/>
        </w:numPr>
      </w:pPr>
      <w:r>
        <w:t xml:space="preserve">Sales decline is offset partly, but not fully, by favorable mix.</w:t>
      </w:r>
    </w:p>
    <w:p>
      <w:pPr>
        <w:pStyle w:val="Compact"/>
        <w:numPr>
          <w:ilvl w:val="0"/>
          <w:numId w:val="1017"/>
        </w:numPr>
      </w:pPr>
      <w:r>
        <w:t xml:space="preserve">Temporary aluminum and commodity costs pressure margins.</w:t>
      </w:r>
    </w:p>
    <w:p>
      <w:pPr>
        <w:pStyle w:val="Compact"/>
        <w:numPr>
          <w:ilvl w:val="0"/>
          <w:numId w:val="1017"/>
        </w:numPr>
      </w:pPr>
      <w:r>
        <w:t xml:space="preserve">Novelis recovery remains broadly intact.</w:t>
      </w:r>
    </w:p>
    <w:p>
      <w:pPr>
        <w:pStyle w:val="Compact"/>
        <w:numPr>
          <w:ilvl w:val="0"/>
          <w:numId w:val="1017"/>
        </w:numPr>
      </w:pPr>
      <w:r>
        <w:t xml:space="preserve">All major guidance ranges are reiterated.</w:t>
      </w:r>
    </w:p>
    <w:p>
      <w:pPr>
        <w:pStyle w:val="Compact"/>
        <w:numPr>
          <w:ilvl w:val="0"/>
          <w:numId w:val="1017"/>
        </w:numPr>
      </w:pPr>
      <w:r>
        <w:t xml:space="preserve">Management continues to describe Q2 as the volume or earnings low point.</w:t>
      </w:r>
    </w:p>
    <w:bookmarkEnd w:id="34"/>
    <w:bookmarkStart w:id="35" w:name="bear-case"/>
    <w:p>
      <w:pPr>
        <w:pStyle w:val="Heading3"/>
      </w:pPr>
      <w:r>
        <w:t xml:space="preserve">Bear case</w:t>
      </w:r>
    </w:p>
    <w:p>
      <w:pPr>
        <w:pStyle w:val="Compact"/>
        <w:numPr>
          <w:ilvl w:val="0"/>
          <w:numId w:val="1018"/>
        </w:numPr>
      </w:pPr>
      <w:r>
        <w:t xml:space="preserve">Adjusted EBIT materially below roughly $1.7B.</w:t>
      </w:r>
    </w:p>
    <w:p>
      <w:pPr>
        <w:pStyle w:val="Compact"/>
        <w:numPr>
          <w:ilvl w:val="0"/>
          <w:numId w:val="1018"/>
        </w:numPr>
      </w:pPr>
      <w:r>
        <w:t xml:space="preserve">Ford Pro misses because of delayed production or weaker commercial pricing.</w:t>
      </w:r>
    </w:p>
    <w:p>
      <w:pPr>
        <w:pStyle w:val="Compact"/>
        <w:numPr>
          <w:ilvl w:val="0"/>
          <w:numId w:val="1018"/>
        </w:numPr>
      </w:pPr>
      <w:r>
        <w:t xml:space="preserve">Novelis’ ramp slips, reducing confidence in the second-half recovery.</w:t>
      </w:r>
    </w:p>
    <w:p>
      <w:pPr>
        <w:pStyle w:val="Compact"/>
        <w:numPr>
          <w:ilvl w:val="0"/>
          <w:numId w:val="1018"/>
        </w:numPr>
      </w:pPr>
      <w:r>
        <w:t xml:space="preserve">Incentives rise or dealer inventory moves above Ford’s targeted range.</w:t>
      </w:r>
    </w:p>
    <w:p>
      <w:pPr>
        <w:pStyle w:val="Compact"/>
        <w:numPr>
          <w:ilvl w:val="0"/>
          <w:numId w:val="1018"/>
        </w:numPr>
      </w:pPr>
      <w:r>
        <w:t xml:space="preserve">Commodity or tariff assumptions worsen again.</w:t>
      </w:r>
    </w:p>
    <w:p>
      <w:pPr>
        <w:pStyle w:val="Compact"/>
        <w:numPr>
          <w:ilvl w:val="0"/>
          <w:numId w:val="1018"/>
        </w:numPr>
      </w:pPr>
      <w:r>
        <w:t xml:space="preserve">Full-year guidance is reduced, or retained only with an unusually back-end-loaded plan.</w:t>
      </w:r>
    </w:p>
    <w:p>
      <w:pPr>
        <w:pStyle w:val="Compact"/>
        <w:numPr>
          <w:ilvl w:val="0"/>
          <w:numId w:val="1018"/>
        </w:numPr>
      </w:pPr>
      <w:r>
        <w:t xml:space="preserve">Model e losses exceed expectations without clearer evidence that 2027 investments are on schedule.</w:t>
      </w:r>
    </w:p>
    <w:p>
      <w:r>
        <w:pict>
          <v:rect style="width:0;height:1.5pt" o:hralign="center" o:hrstd="t" o:hr="t"/>
        </w:pict>
      </w:r>
    </w:p>
    <w:bookmarkEnd w:id="35"/>
    <w:bookmarkEnd w:id="36"/>
    <w:bookmarkStart w:id="37" w:name="bottom-line"/>
    <w:p>
      <w:pPr>
        <w:pStyle w:val="Heading2"/>
      </w:pPr>
      <w:r>
        <w:t xml:space="preserve">Bottom line</w:t>
      </w:r>
    </w:p>
    <w:p>
      <w:pPr>
        <w:pStyle w:val="FirstParagraph"/>
      </w:pPr>
      <w:r>
        <w:t xml:space="preserve">The headline EPS comparison is not the main event. The decisive issue is whether Ford can demonstrate that</w:t>
      </w:r>
      <w:r>
        <w:t xml:space="preserve"> </w:t>
      </w:r>
      <w:r>
        <w:rPr>
          <w:b/>
          <w:bCs/>
        </w:rPr>
        <w:t xml:space="preserve">Q2 is a temporary cost-and-volume trough rather than a deterioration in the underlying business</w:t>
      </w:r>
      <w:r>
        <w:t xml:space="preserve">.</w:t>
      </w:r>
    </w:p>
    <w:p>
      <w:pPr>
        <w:pStyle w:val="BodyText"/>
      </w:pPr>
      <w:r>
        <w:t xml:space="preserve">Three answers will likely determine the stock reaction:</w:t>
      </w:r>
    </w:p>
    <w:p>
      <w:pPr>
        <w:pStyle w:val="Compact"/>
        <w:numPr>
          <w:ilvl w:val="0"/>
          <w:numId w:val="1019"/>
        </w:numPr>
      </w:pPr>
      <w:r>
        <w:rPr>
          <w:b/>
          <w:bCs/>
        </w:rPr>
        <w:t xml:space="preserve">Is the Novelis-driven production recovery still on track?</w:t>
      </w:r>
    </w:p>
    <w:p>
      <w:pPr>
        <w:pStyle w:val="Compact"/>
        <w:numPr>
          <w:ilvl w:val="0"/>
          <w:numId w:val="1019"/>
        </w:numPr>
      </w:pPr>
      <w:r>
        <w:rPr>
          <w:b/>
          <w:bCs/>
        </w:rPr>
        <w:t xml:space="preserve">Can Ford Pro and Ford Blue preserve pricing and margins as volume returns?</w:t>
      </w:r>
    </w:p>
    <w:p>
      <w:pPr>
        <w:pStyle w:val="Compact"/>
        <w:numPr>
          <w:ilvl w:val="0"/>
          <w:numId w:val="1019"/>
        </w:numPr>
      </w:pPr>
      <w:r>
        <w:rPr>
          <w:b/>
          <w:bCs/>
        </w:rPr>
        <w:t xml:space="preserve">Does management still have a credible, cash-backed path to</w:t>
      </w:r>
      <w:r>
        <w:rPr>
          <w:b/>
          <w:bCs/>
        </w:rPr>
        <w:t xml:space="preserve"> </w:t>
      </w:r>
      <m:oMath>
        <m:r>
          <m:t>8.5</m:t>
        </m:r>
        <m:r>
          <m:t>B</m:t>
        </m:r>
        <m:r>
          <m:rPr>
            <m:sty m:val="p"/>
          </m:rPr>
          <m:t>–</m:t>
        </m:r>
      </m:oMath>
      <w:r>
        <w:rPr>
          <w:b/>
          <w:bCs/>
        </w:rPr>
        <w:t xml:space="preserve">10.5B of full-year adjusted EBIT?</w:t>
      </w:r>
    </w:p>
    <w:p>
      <w:pPr>
        <w:pStyle w:val="FirstParagraph"/>
      </w:pPr>
      <w:r>
        <w:t xml:space="preserve">A modest EPS beat with unchanged but fragile guidance would be less persuasive than an in-line quarter accompanied by firm production visibility, disciplined incentives and stronger confidence in second-half cash generation.</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fortune.com/company-assets/1521/quartr/quarterly-report-10-q-bd7d3-2026-04-30-10-57-08.pdf?utm_source=openai" TargetMode="External" /><Relationship Type="http://schemas.openxmlformats.org/officeDocument/2006/relationships/hyperlink" Id="rId9" Target="https://shareholder.ford.com/home/default.aspx?utm_source=openai" TargetMode="External" /><Relationship Type="http://schemas.openxmlformats.org/officeDocument/2006/relationships/hyperlink" Id="rId11" Target="https://www.marketbeat.com/earnings/reports/2026-7-28-ford-motor-stock/?utm_source=openai" TargetMode="External" /><Relationship Type="http://schemas.openxmlformats.org/officeDocument/2006/relationships/hyperlink" Id="rId18" Target="https://www.zacks.com/stock/news/2957406/ford-gears-up-to-report-q2-earnings-heres-what-to-expect?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fortune.com/company-assets/1521/quartr/quarterly-report-10-q-bd7d3-2026-04-30-10-57-08.pdf?utm_source=openai" TargetMode="External" /><Relationship Type="http://schemas.openxmlformats.org/officeDocument/2006/relationships/hyperlink" Id="rId9" Target="https://shareholder.ford.com/home/default.aspx?utm_source=openai" TargetMode="External" /><Relationship Type="http://schemas.openxmlformats.org/officeDocument/2006/relationships/hyperlink" Id="rId11" Target="https://www.marketbeat.com/earnings/reports/2026-7-28-ford-motor-stock/?utm_source=openai" TargetMode="External" /><Relationship Type="http://schemas.openxmlformats.org/officeDocument/2006/relationships/hyperlink" Id="rId18" Target="https://www.zacks.com/stock/news/2957406/ford-gears-up-to-report-q2-earnings-heres-what-to-expect?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2026-07-28T01:19:02Z</dcterms:created>
  <dcterms:modified xsi:type="dcterms:W3CDTF">2026-07-28T01:19:02Z</dcterms:modified>
</cp:coreProperties>
</file>

<file path=docProps/custom.xml><?xml version="1.0" encoding="utf-8"?>
<Properties xmlns="http://schemas.openxmlformats.org/officeDocument/2006/custom-properties" xmlns:vt="http://schemas.openxmlformats.org/officeDocument/2006/docPropsVTypes"/>
</file>