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ford-motor-nyse-f--2q26-earnings-preview"/>
    <w:p>
      <w:pPr>
        <w:pStyle w:val="Heading1"/>
      </w:pPr>
      <w:r>
        <w:t xml:space="preserve">Ford Motor (NYSE: F) — 2Q26 Earnings Preview</w:t>
      </w:r>
    </w:p>
    <w:p>
      <w:pPr>
        <w:pStyle w:val="BlockText"/>
      </w:pPr>
      <w:r>
        <w:rPr>
          <w:b/>
          <w:bCs/>
        </w:rPr>
        <w:t xml:space="preserve">Timing note:</w:t>
      </w:r>
      <w:r>
        <w:t xml:space="preserve"> </w:t>
      </w:r>
      <w:r>
        <w:t xml:space="preserve">July 28, 2026 is</w:t>
      </w:r>
      <w:r>
        <w:t xml:space="preserve"> </w:t>
      </w:r>
      <w:r>
        <w:rPr>
          <w:b/>
          <w:bCs/>
        </w:rPr>
        <w:t xml:space="preserve">today</w:t>
      </w:r>
      <w:r>
        <w:t xml:space="preserve">, rather than “tomorrow.” This preview treats Ford’s 2026Q2 earnings event as imminent and uses information available through</w:t>
      </w:r>
      <w:r>
        <w:t xml:space="preserve"> </w:t>
      </w:r>
      <w:r>
        <w:rPr>
          <w:b/>
          <w:bCs/>
        </w:rPr>
        <w:t xml:space="preserve">July 27, 2026</w:t>
      </w:r>
      <w:r>
        <w:t xml:space="preserve">.</w:t>
      </w:r>
    </w:p>
    <w:bookmarkStart w:id="9" w:name="X24b96db127716810c5744a8fd27a34cb05cc068"/>
    <w:p>
      <w:pPr>
        <w:pStyle w:val="Heading2"/>
      </w:pPr>
      <w:r>
        <w:t xml:space="preserve">Investment view: the quarter is less important than the bridge to the second half</w:t>
      </w:r>
    </w:p>
    <w:p>
      <w:pPr>
        <w:pStyle w:val="FirstParagraph"/>
      </w:pPr>
      <w:r>
        <w:t xml:space="preserve">Ford enters 2Q26 with improving product mix and encouraging commercial/software indicators, but with a difficult reported volume comparison and an unusually noisy earnings setup. The central question is not simply whether Ford beats a quarterly earnings estimate—it is whether management can</w:t>
      </w:r>
      <w:r>
        <w:t xml:space="preserve"> </w:t>
      </w:r>
      <w:r>
        <w:rPr>
          <w:b/>
          <w:bCs/>
        </w:rPr>
        <w:t xml:space="preserve">reaffirm or improve the credibility of its</w:t>
      </w:r>
      <w:r>
        <w:rPr>
          <w:b/>
          <w:bCs/>
        </w:rPr>
        <w:t xml:space="preserve"> </w:t>
      </w:r>
      <m:oMath>
        <m:r>
          <m:t>8.5</m:t>
        </m:r>
        <m:r>
          <m:rPr>
            <m:sty m:val="p"/>
          </m:rPr>
          <m:t>–</m:t>
        </m:r>
      </m:oMath>
      <w:r>
        <w:rPr>
          <w:b/>
          <w:bCs/>
        </w:rPr>
        <w:t xml:space="preserve">10.5 billion full-year adjusted EBIT outlook</w:t>
      </w:r>
      <w:r>
        <w:t xml:space="preserve"> </w:t>
      </w:r>
      <w:r>
        <w:t xml:space="preserve">despite lower 2Q U.S. sales, persistent aluminum/commodity costs, tariffs, and greater macro uncertainty.</w:t>
      </w:r>
    </w:p>
    <w:p>
      <w:pPr>
        <w:pStyle w:val="BodyText"/>
      </w:pPr>
      <w:r>
        <w:t xml:space="preserve">The setup is constructive but not clean:</w:t>
      </w:r>
    </w:p>
    <w:p>
      <w:pPr>
        <w:pStyle w:val="Compact"/>
        <w:numPr>
          <w:ilvl w:val="0"/>
          <w:numId w:val="1001"/>
        </w:numPr>
      </w:pPr>
      <w:r>
        <w:rPr>
          <w:b/>
          <w:bCs/>
        </w:rPr>
        <w:t xml:space="preserve">Positive:</w:t>
      </w:r>
      <w:r>
        <w:t xml:space="preserve"> </w:t>
      </w:r>
      <w:r>
        <w:t xml:space="preserve">Mix in F-Series, Bronco, Explorer, Expedition, Maverick, Transit, and off-road trims appears strong; Ford Pro subscription growth continues; and management previously expected production and profit recovery to become more visible in the second half.</w:t>
      </w:r>
    </w:p>
    <w:p>
      <w:pPr>
        <w:pStyle w:val="Compact"/>
        <w:numPr>
          <w:ilvl w:val="0"/>
          <w:numId w:val="1001"/>
        </w:numPr>
      </w:pPr>
      <w:r>
        <w:rPr>
          <w:b/>
          <w:bCs/>
        </w:rPr>
        <w:t xml:space="preserve">Negative:</w:t>
      </w:r>
      <w:r>
        <w:t xml:space="preserve"> </w:t>
      </w:r>
      <w:r>
        <w:t xml:space="preserve">Q2 U.S. sales fell</w:t>
      </w:r>
      <w:r>
        <w:t xml:space="preserve"> </w:t>
      </w:r>
      <w:r>
        <w:rPr>
          <w:b/>
          <w:bCs/>
        </w:rPr>
        <w:t xml:space="preserve">10% year over year to 549,200 units</w:t>
      </w:r>
      <w:r>
        <w:t xml:space="preserve">, reflecting planned vehicle phase-outs and a</w:t>
      </w:r>
      <w:r>
        <w:t xml:space="preserve"> </w:t>
      </w:r>
      <w:r>
        <w:rPr>
          <w:b/>
          <w:bCs/>
        </w:rPr>
        <w:t xml:space="preserve">69% drop in daily-rental sales</w:t>
      </w:r>
      <w:r>
        <w:t xml:space="preserve">. The implied message is that headline volume will likely be weak even if underlying retail quality is better.</w:t>
      </w:r>
    </w:p>
    <w:p>
      <w:pPr>
        <w:pStyle w:val="Compact"/>
        <w:numPr>
          <w:ilvl w:val="0"/>
          <w:numId w:val="1001"/>
        </w:numPr>
      </w:pPr>
      <w:r>
        <w:rPr>
          <w:b/>
          <w:bCs/>
        </w:rPr>
        <w:t xml:space="preserve">Key debate:</w:t>
      </w:r>
      <w:r>
        <w:t xml:space="preserve"> </w:t>
      </w:r>
      <w:r>
        <w:t xml:space="preserve">Ford’s first-quarter result included a</w:t>
      </w:r>
      <w:r>
        <w:t xml:space="preserve"> </w:t>
      </w:r>
      <w:r>
        <w:rPr>
          <w:b/>
          <w:bCs/>
        </w:rPr>
        <w:t xml:space="preserve">$1.3 billion one-time tariff benefit</w:t>
      </w:r>
      <w:r>
        <w:t xml:space="preserve">. That benefit does not repeat in Q2, so investors should focus on underlying segment margins, cost performance, cash flow, and the path to the second half—not the year-over-year change in consolidated EBIT alone.</w:t>
      </w:r>
    </w:p>
    <w:p>
      <w:pPr>
        <w:pStyle w:val="FirstParagraph"/>
      </w:pPr>
      <w:r>
        <w:t xml:space="preserve">Ford shares closed at</w:t>
      </w:r>
      <w:r>
        <w:t xml:space="preserve"> </w:t>
      </w:r>
      <w:r>
        <w:rPr>
          <w:b/>
          <w:bCs/>
        </w:rPr>
        <w:t xml:space="preserve">$14.69 on July 27</w:t>
      </w:r>
      <w:r>
        <w:t xml:space="preserve">, up about</w:t>
      </w:r>
      <w:r>
        <w:t xml:space="preserve"> </w:t>
      </w:r>
      <w:r>
        <w:rPr>
          <w:b/>
          <w:bCs/>
        </w:rPr>
        <w:t xml:space="preserve">20% from $12.24 immediately before the April 29 first-quarter release</w:t>
      </w:r>
      <w:r>
        <w:t xml:space="preserve"> </w:t>
      </w:r>
      <w:r>
        <w:t xml:space="preserve">and roughly</w:t>
      </w:r>
      <w:r>
        <w:t xml:space="preserve"> </w:t>
      </w:r>
      <w:r>
        <w:rPr>
          <w:b/>
          <w:bCs/>
        </w:rPr>
        <w:t xml:space="preserve">10% from $13.36 on July 2</w:t>
      </w:r>
      <w:r>
        <w:t xml:space="preserve">, when the company reported June sales. The recent move, including a July 27 analyst upgrade, raises the bar for a report that merely reiterates existing guidance.</w:t>
      </w:r>
    </w:p>
    <w:p>
      <w:r>
        <w:pict>
          <v:rect style="width:0;height:1.5pt" o:hralign="center" o:hrstd="t" o:hr="t"/>
        </w:pict>
      </w:r>
    </w:p>
    <w:bookmarkEnd w:id="9"/>
    <w:bookmarkStart w:id="14" w:name="what-ford-has-to-prove"/>
    <w:p>
      <w:pPr>
        <w:pStyle w:val="Heading2"/>
      </w:pPr>
      <w:r>
        <w:t xml:space="preserve">What Ford has to prove</w:t>
      </w:r>
    </w:p>
    <w:bookmarkStart w:id="10" w:name="X6d0480f78ddcbb4576744d91be93f9e1f13fe09"/>
    <w:p>
      <w:pPr>
        <w:pStyle w:val="Heading3"/>
      </w:pPr>
      <w:r>
        <w:t xml:space="preserve">1. The 2H recovery thesis remains intact</w:t>
      </w:r>
    </w:p>
    <w:p>
      <w:pPr>
        <w:pStyle w:val="FirstParagraph"/>
      </w:pPr>
      <w:r>
        <w:t xml:space="preserve">At 1Q earnings, Ford guided to</w:t>
      </w:r>
      <w:r>
        <w:t xml:space="preserve"> </w:t>
      </w:r>
      <m:oMath>
        <m:r>
          <m:t>8.5</m:t>
        </m:r>
        <m:r>
          <m:rPr>
            <m:sty m:val="p"/>
          </m:rPr>
          <m:t>–</m:t>
        </m:r>
      </m:oMath>
      <w:r>
        <w:rPr>
          <w:b/>
          <w:bCs/>
        </w:rPr>
        <w:t xml:space="preserve">10.5 billion</w:t>
      </w:r>
      <w:r>
        <w:t xml:space="preserve"> </w:t>
      </w:r>
      <w:r>
        <w:t xml:space="preserve">of 2026 adjusted EBIT and indicated that earnings would be relatively modest across Q2–Q4 after a very strong first quarter. The company attributed that cadence to:</w:t>
      </w:r>
    </w:p>
    <w:p>
      <w:pPr>
        <w:pStyle w:val="Compact"/>
        <w:numPr>
          <w:ilvl w:val="0"/>
          <w:numId w:val="1002"/>
        </w:numPr>
      </w:pPr>
      <w:r>
        <w:t xml:space="preserve">loss of the non-recurring tariff benefit,</w:t>
      </w:r>
    </w:p>
    <w:p>
      <w:pPr>
        <w:pStyle w:val="Compact"/>
        <w:numPr>
          <w:ilvl w:val="0"/>
          <w:numId w:val="1002"/>
        </w:numPr>
      </w:pPr>
      <w:r>
        <w:t xml:space="preserve">worsening commodity costs later in the year,</w:t>
      </w:r>
    </w:p>
    <w:p>
      <w:pPr>
        <w:pStyle w:val="Compact"/>
        <w:numPr>
          <w:ilvl w:val="0"/>
          <w:numId w:val="1002"/>
        </w:numPr>
      </w:pPr>
      <w:r>
        <w:t xml:space="preserve">higher launch and growth investment—particularly Universal EV platform, Ford Energy, and Oakville, and</w:t>
      </w:r>
    </w:p>
    <w:p>
      <w:pPr>
        <w:pStyle w:val="Compact"/>
        <w:numPr>
          <w:ilvl w:val="0"/>
          <w:numId w:val="1002"/>
        </w:numPr>
      </w:pPr>
      <w:r>
        <w:t xml:space="preserve">an expected</w:t>
      </w:r>
      <w:r>
        <w:t xml:space="preserve"> </w:t>
      </w:r>
      <w:r>
        <w:rPr>
          <w:b/>
          <w:bCs/>
        </w:rPr>
        <w:t xml:space="preserve">net $1 billion year-over-year improvement from the Novelis recovery</w:t>
      </w:r>
      <w:r>
        <w:t xml:space="preserve">, weighted to the second half.</w:t>
      </w:r>
    </w:p>
    <w:p>
      <w:pPr>
        <w:pStyle w:val="FirstParagraph"/>
      </w:pPr>
      <w:r>
        <w:t xml:space="preserve">This is the single most important issue for the call. Q2 sales commentary said F-Series supply should recover</w:t>
      </w:r>
      <w:r>
        <w:t xml:space="preserve"> </w:t>
      </w:r>
      <w:r>
        <w:rPr>
          <w:b/>
          <w:bCs/>
        </w:rPr>
        <w:t xml:space="preserve">more fully in the second half</w:t>
      </w:r>
      <w:r>
        <w:t xml:space="preserve">, suggesting the operational recovery may still be more back-end weighted than investors initially hoped. Management needs to clarify whether the Novelis restart/ramp is proceeding to plan, whether alternative-aluminum costs are tracking within the prior</w:t>
      </w:r>
      <w:r>
        <w:t xml:space="preserve"> </w:t>
      </w:r>
      <m:oMath>
        <m:r>
          <m:t>1.5</m:t>
        </m:r>
        <m:r>
          <m:rPr>
            <m:sty m:val="p"/>
          </m:rPr>
          <m:t>–</m:t>
        </m:r>
      </m:oMath>
      <w:r>
        <w:rPr>
          <w:b/>
          <w:bCs/>
        </w:rPr>
        <w:t xml:space="preserve">2.0 billion</w:t>
      </w:r>
      <w:r>
        <w:t xml:space="preserve"> </w:t>
      </w:r>
      <w:r>
        <w:t xml:space="preserve">estimate, and whether deferred commercial orders remain intact.</w:t>
      </w:r>
    </w:p>
    <w:p>
      <w:pPr>
        <w:pStyle w:val="BodyText"/>
      </w:pPr>
      <w:r>
        <w:rPr>
          <w:b/>
          <w:bCs/>
        </w:rPr>
        <w:t xml:space="preserve">Investor read-through:</w:t>
      </w:r>
      <w:r>
        <w:t xml:space="preserve"> </w:t>
      </w:r>
      <w:r>
        <w:t xml:space="preserve">A confident reaffirmation of second-half production, Ford Pro deliveries, and Novelis economics would be constructive. Any slippage in supply recovery or a larger temporary-cost burden would pressure the full-year bridge.</w:t>
      </w:r>
    </w:p>
    <w:p>
      <w:r>
        <w:pict>
          <v:rect style="width:0;height:1.5pt" o:hralign="center" o:hrstd="t" o:hr="t"/>
        </w:pict>
      </w:r>
    </w:p>
    <w:bookmarkEnd w:id="10"/>
    <w:bookmarkStart w:id="11" w:name="Xca59da927b90f35f1d47d7f4da21a8b4943e217"/>
    <w:p>
      <w:pPr>
        <w:pStyle w:val="Heading3"/>
      </w:pPr>
      <w:r>
        <w:t xml:space="preserve">2. Ford Blue must convert favorable mix into durable margin</w:t>
      </w:r>
    </w:p>
    <w:p>
      <w:pPr>
        <w:pStyle w:val="FirstParagraph"/>
      </w:pPr>
      <w:r>
        <w:t xml:space="preserve">Ford Blue produced</w:t>
      </w:r>
      <w:r>
        <w:t xml:space="preserve"> </w:t>
      </w:r>
      <w:r>
        <w:rPr>
          <w:b/>
          <w:bCs/>
        </w:rPr>
        <w:t xml:space="preserve">$1.9 billion of EBIT</w:t>
      </w:r>
      <w:r>
        <w:t xml:space="preserve"> </w:t>
      </w:r>
      <w:r>
        <w:t xml:space="preserve">and an</w:t>
      </w:r>
      <w:r>
        <w:t xml:space="preserve"> </w:t>
      </w:r>
      <w:r>
        <w:rPr>
          <w:b/>
          <w:bCs/>
        </w:rPr>
        <w:t xml:space="preserve">8.1% margin</w:t>
      </w:r>
      <w:r>
        <w:t xml:space="preserve"> </w:t>
      </w:r>
      <w:r>
        <w:t xml:space="preserve">in Q1, aided by rich truck/SUV mix, pricing discipline, and the tariff benefit. Q2 sales data point to continued strength in the parts of the portfolio that matter most economically: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Operational indicator</w:t>
            </w:r>
          </w:p>
        </w:tc>
        <w:tc>
          <w:tcPr/>
          <w:p>
            <w:pPr>
              <w:pStyle w:val="Compact"/>
              <w:jc w:val="right"/>
            </w:pPr>
            <w:r>
              <w:t xml:space="preserve">2Q / 1H26 signal</w:t>
            </w:r>
          </w:p>
        </w:tc>
      </w:tr>
      <w:tr>
        <w:tc>
          <w:tcPr/>
          <w:p>
            <w:pPr>
              <w:pStyle w:val="Compact"/>
            </w:pPr>
            <w:r>
              <w:t xml:space="preserve">F-Series first-half sales</w:t>
            </w:r>
          </w:p>
        </w:tc>
        <w:tc>
          <w:tcPr/>
          <w:p>
            <w:pPr>
              <w:pStyle w:val="Compact"/>
              <w:jc w:val="right"/>
            </w:pPr>
            <w:r>
              <w:rPr>
                <w:b/>
                <w:bCs/>
              </w:rPr>
              <w:t xml:space="preserve">357,801</w:t>
            </w:r>
          </w:p>
        </w:tc>
      </w:tr>
      <w:tr>
        <w:tc>
          <w:tcPr/>
          <w:p>
            <w:pPr>
              <w:pStyle w:val="Compact"/>
            </w:pPr>
            <w:r>
              <w:t xml:space="preserve">Bronco Q2 sales growth</w:t>
            </w:r>
          </w:p>
        </w:tc>
        <w:tc>
          <w:tcPr/>
          <w:p>
            <w:pPr>
              <w:pStyle w:val="Compact"/>
              <w:jc w:val="right"/>
            </w:pPr>
            <w:r>
              <w:rPr>
                <w:b/>
                <w:bCs/>
              </w:rPr>
              <w:t xml:space="preserve">+15.9%</w:t>
            </w:r>
          </w:p>
        </w:tc>
      </w:tr>
      <w:tr>
        <w:tc>
          <w:tcPr/>
          <w:p>
            <w:pPr>
              <w:pStyle w:val="Compact"/>
            </w:pPr>
            <w:r>
              <w:t xml:space="preserve">Bronco first-half sales</w:t>
            </w:r>
          </w:p>
        </w:tc>
        <w:tc>
          <w:tcPr/>
          <w:p>
            <w:pPr>
              <w:pStyle w:val="Compact"/>
              <w:jc w:val="right"/>
            </w:pPr>
            <w:r>
              <w:rPr>
                <w:b/>
                <w:bCs/>
              </w:rPr>
              <w:t xml:space="preserve">76,936</w:t>
            </w:r>
            <w:r>
              <w:t xml:space="preserve">, a record</w:t>
            </w:r>
          </w:p>
        </w:tc>
      </w:tr>
      <w:tr>
        <w:tc>
          <w:tcPr/>
          <w:p>
            <w:pPr>
              <w:pStyle w:val="Compact"/>
            </w:pPr>
            <w:r>
              <w:t xml:space="preserve">Explorer first-half sales</w:t>
            </w:r>
          </w:p>
        </w:tc>
        <w:tc>
          <w:tcPr/>
          <w:p>
            <w:pPr>
              <w:pStyle w:val="Compact"/>
              <w:jc w:val="right"/>
            </w:pPr>
            <w:r>
              <w:rPr>
                <w:b/>
                <w:bCs/>
              </w:rPr>
              <w:t xml:space="preserve">+21%</w:t>
            </w:r>
          </w:p>
        </w:tc>
      </w:tr>
      <w:tr>
        <w:tc>
          <w:tcPr/>
          <w:p>
            <w:pPr>
              <w:pStyle w:val="Compact"/>
            </w:pPr>
            <w:r>
              <w:t xml:space="preserve">Maverick Hybrid Q2 sales</w:t>
            </w:r>
          </w:p>
        </w:tc>
        <w:tc>
          <w:tcPr/>
          <w:p>
            <w:pPr>
              <w:pStyle w:val="Compact"/>
              <w:jc w:val="right"/>
            </w:pPr>
            <w:r>
              <w:rPr>
                <w:b/>
                <w:bCs/>
              </w:rPr>
              <w:t xml:space="preserve">29,457</w:t>
            </w:r>
            <w:r>
              <w:t xml:space="preserve">, a record</w:t>
            </w:r>
          </w:p>
        </w:tc>
      </w:tr>
      <w:tr>
        <w:tc>
          <w:tcPr/>
          <w:p>
            <w:pPr>
              <w:pStyle w:val="Compact"/>
            </w:pPr>
            <w:r>
              <w:t xml:space="preserve">Off-road performance mix</w:t>
            </w:r>
          </w:p>
        </w:tc>
        <w:tc>
          <w:tcPr/>
          <w:p>
            <w:pPr>
              <w:pStyle w:val="Compact"/>
              <w:jc w:val="right"/>
            </w:pPr>
            <w:r>
              <w:rPr>
                <w:b/>
                <w:bCs/>
              </w:rPr>
              <w:t xml:space="preserve">23.9%</w:t>
            </w:r>
            <w:r>
              <w:t xml:space="preserve"> </w:t>
            </w:r>
            <w:r>
              <w:t xml:space="preserve">of first-half sales</w:t>
            </w:r>
          </w:p>
        </w:tc>
      </w:tr>
      <w:tr>
        <w:tc>
          <w:tcPr/>
          <w:p>
            <w:pPr>
              <w:pStyle w:val="Compact"/>
            </w:pPr>
            <w:r>
              <w:t xml:space="preserve">Off-road performance sales</w:t>
            </w:r>
          </w:p>
        </w:tc>
        <w:tc>
          <w:tcPr/>
          <w:p>
            <w:pPr>
              <w:pStyle w:val="Compact"/>
              <w:jc w:val="right"/>
            </w:pPr>
            <w:r>
              <w:rPr>
                <w:b/>
                <w:bCs/>
              </w:rPr>
              <w:t xml:space="preserve">+6.5%</w:t>
            </w:r>
          </w:p>
        </w:tc>
      </w:tr>
      <w:tr>
        <w:tc>
          <w:tcPr/>
          <w:p>
            <w:pPr>
              <w:pStyle w:val="Compact"/>
            </w:pPr>
            <w:r>
              <w:t xml:space="preserve">Combined Maverick/Ranger/Bronco Sport Q2 sales</w:t>
            </w:r>
          </w:p>
        </w:tc>
        <w:tc>
          <w:tcPr/>
          <w:p>
            <w:pPr>
              <w:pStyle w:val="Compact"/>
              <w:jc w:val="right"/>
            </w:pPr>
            <w:r>
              <w:rPr>
                <w:b/>
                <w:bCs/>
              </w:rPr>
              <w:t xml:space="preserve">+9.9%</w:t>
            </w:r>
          </w:p>
        </w:tc>
      </w:tr>
    </w:tbl>
    <w:p>
      <w:pPr>
        <w:pStyle w:val="BodyText"/>
      </w:pPr>
      <w:r>
        <w:t xml:space="preserve">The apparent contradiction—strong core franchises alongside a 10% total sales decline—is central to the print. Ford is exiting Escape and Lincoln Corsair while retooling Louisville for its future affordable EV pickup; it has also sharply reduced lower-quality rental volume. The earnings question is whether the profitable mix improvement can offset lost scale and disruption costs.</w:t>
      </w:r>
    </w:p>
    <w:p>
      <w:pPr>
        <w:pStyle w:val="BodyText"/>
      </w:pPr>
      <w:r>
        <w:rPr>
          <w:b/>
          <w:bCs/>
        </w:rPr>
        <w:t xml:space="preserve">What matters most:</w:t>
      </w:r>
      <w:r>
        <w:t xml:space="preserve"> </w:t>
      </w:r>
      <w:r>
        <w:t xml:space="preserve">Ford Blue EBIT/margin, incentive spending relative to peers, F-Series availability, and management’s commentary on retail pricing. In Q1, Ford said F-150 had the lowest incentive spend per unit among key competitors while retaining the highest average transaction price. Sustaining that discipline would support the thesis that Ford is prioritizing profitable volume rather than volume for its own sake.</w:t>
      </w:r>
    </w:p>
    <w:p>
      <w:r>
        <w:pict>
          <v:rect style="width:0;height:1.5pt" o:hralign="center" o:hrstd="t" o:hr="t"/>
        </w:pict>
      </w:r>
    </w:p>
    <w:bookmarkEnd w:id="11"/>
    <w:bookmarkStart w:id="12" w:name="Xd93343e1a21ef9b10484d4ce4df251915545760"/>
    <w:p>
      <w:pPr>
        <w:pStyle w:val="Heading3"/>
      </w:pPr>
      <w:r>
        <w:t xml:space="preserve">3. Ford Pro remains the earnings anchor—and its revenue quality matters</w:t>
      </w:r>
    </w:p>
    <w:p>
      <w:pPr>
        <w:pStyle w:val="FirstParagraph"/>
      </w:pPr>
      <w:r>
        <w:t xml:space="preserve">Ford Pro generated</w:t>
      </w:r>
      <w:r>
        <w:t xml:space="preserve"> </w:t>
      </w:r>
      <w:r>
        <w:rPr>
          <w:b/>
          <w:bCs/>
        </w:rPr>
        <w:t xml:space="preserve">$1.7 billion of EBIT</w:t>
      </w:r>
      <w:r>
        <w:t xml:space="preserve"> </w:t>
      </w:r>
      <w:r>
        <w:t xml:space="preserve">in Q1 on an</w:t>
      </w:r>
      <w:r>
        <w:t xml:space="preserve"> </w:t>
      </w:r>
      <w:r>
        <w:rPr>
          <w:b/>
          <w:bCs/>
        </w:rPr>
        <w:t xml:space="preserve">11.4% margin</w:t>
      </w:r>
      <w:r>
        <w:t xml:space="preserve">, even with wholesales down 10%. It remains the most important segment for the long-term earnings case because it combines commercial vehicle demand with higher-margin services, software, and parts.</w:t>
      </w:r>
    </w:p>
    <w:p>
      <w:pPr>
        <w:pStyle w:val="BodyText"/>
      </w:pPr>
      <w:r>
        <w:t xml:space="preserve">Recent indicators remain favorable:</w:t>
      </w:r>
    </w:p>
    <w:p>
      <w:pPr>
        <w:pStyle w:val="Compact"/>
        <w:numPr>
          <w:ilvl w:val="0"/>
          <w:numId w:val="1003"/>
        </w:numPr>
      </w:pPr>
      <w:r>
        <w:t xml:space="preserve">Ford Transit first-half sales reached</w:t>
      </w:r>
      <w:r>
        <w:t xml:space="preserve"> </w:t>
      </w:r>
      <w:r>
        <w:rPr>
          <w:b/>
          <w:bCs/>
        </w:rPr>
        <w:t xml:space="preserve">78,925</w:t>
      </w:r>
      <w:r>
        <w:t xml:space="preserve">, ahead of last year’s record pace.</w:t>
      </w:r>
    </w:p>
    <w:p>
      <w:pPr>
        <w:pStyle w:val="Compact"/>
        <w:numPr>
          <w:ilvl w:val="0"/>
          <w:numId w:val="1003"/>
        </w:numPr>
      </w:pPr>
      <w:r>
        <w:t xml:space="preserve">Ford held an estimated</w:t>
      </w:r>
      <w:r>
        <w:t xml:space="preserve"> </w:t>
      </w:r>
      <w:r>
        <w:rPr>
          <w:b/>
          <w:bCs/>
        </w:rPr>
        <w:t xml:space="preserve">40.4% share</w:t>
      </w:r>
      <w:r>
        <w:t xml:space="preserve"> </w:t>
      </w:r>
      <w:r>
        <w:t xml:space="preserve">of the Class 1–7 commercial truck and van market through April.</w:t>
      </w:r>
    </w:p>
    <w:p>
      <w:pPr>
        <w:pStyle w:val="Compact"/>
        <w:numPr>
          <w:ilvl w:val="0"/>
          <w:numId w:val="1003"/>
        </w:numPr>
      </w:pPr>
      <w:r>
        <w:t xml:space="preserve">Ford Pro Intelligence paid subscriptions surpassed</w:t>
      </w:r>
      <w:r>
        <w:t xml:space="preserve"> </w:t>
      </w:r>
      <w:r>
        <w:rPr>
          <w:b/>
          <w:bCs/>
        </w:rPr>
        <w:t xml:space="preserve">900,000</w:t>
      </w:r>
      <w:r>
        <w:t xml:space="preserve"> </w:t>
      </w:r>
      <w:r>
        <w:t xml:space="preserve">in the first half, up about</w:t>
      </w:r>
      <w:r>
        <w:t xml:space="preserve"> </w:t>
      </w:r>
      <w:r>
        <w:rPr>
          <w:b/>
          <w:bCs/>
        </w:rPr>
        <w:t xml:space="preserve">20% year over year</w:t>
      </w:r>
      <w:r>
        <w:t xml:space="preserve">.</w:t>
      </w:r>
    </w:p>
    <w:p>
      <w:pPr>
        <w:pStyle w:val="Compact"/>
        <w:numPr>
          <w:ilvl w:val="0"/>
          <w:numId w:val="1003"/>
        </w:numPr>
      </w:pPr>
      <w:r>
        <w:t xml:space="preserve">Mobile Service delivered nearly</w:t>
      </w:r>
      <w:r>
        <w:t xml:space="preserve"> </w:t>
      </w:r>
      <w:r>
        <w:rPr>
          <w:b/>
          <w:bCs/>
        </w:rPr>
        <w:t xml:space="preserve">870,000</w:t>
      </w:r>
      <w:r>
        <w:t xml:space="preserve"> </w:t>
      </w:r>
      <w:r>
        <w:t xml:space="preserve">experiences globally in Q2, up</w:t>
      </w:r>
      <w:r>
        <w:t xml:space="preserve"> </w:t>
      </w:r>
      <w:r>
        <w:rPr>
          <w:b/>
          <w:bCs/>
        </w:rPr>
        <w:t xml:space="preserve">29%</w:t>
      </w:r>
      <w:r>
        <w:t xml:space="preserve">.</w:t>
      </w:r>
    </w:p>
    <w:p>
      <w:pPr>
        <w:pStyle w:val="FirstParagraph"/>
      </w:pPr>
      <w:r>
        <w:t xml:space="preserve">The issue is whether the subscription base is translating into incremental EBIT at the pace implied by management’s broader ambition. Ford has said software and physical-services revenue exceeded</w:t>
      </w:r>
      <w:r>
        <w:t xml:space="preserve"> </w:t>
      </w:r>
      <w:r>
        <w:rPr>
          <w:b/>
          <w:bCs/>
        </w:rPr>
        <w:t xml:space="preserve">$15 billion</w:t>
      </w:r>
      <w:r>
        <w:t xml:space="preserve"> </w:t>
      </w:r>
      <w:r>
        <w:t xml:space="preserve">in 2025 and could grow at nearly</w:t>
      </w:r>
      <w:r>
        <w:t xml:space="preserve"> </w:t>
      </w:r>
      <w:r>
        <w:rPr>
          <w:b/>
          <w:bCs/>
        </w:rPr>
        <w:t xml:space="preserve">8% annually</w:t>
      </w:r>
      <w:r>
        <w:t xml:space="preserve"> </w:t>
      </w:r>
      <w:r>
        <w:t xml:space="preserve">through the end of the decade.</w:t>
      </w:r>
    </w:p>
    <w:p>
      <w:pPr>
        <w:pStyle w:val="BodyText"/>
      </w:pPr>
      <w:r>
        <w:rPr>
          <w:b/>
          <w:bCs/>
        </w:rPr>
        <w:t xml:space="preserve">Key call question:</w:t>
      </w:r>
      <w:r>
        <w:t xml:space="preserve"> </w:t>
      </w:r>
      <w:r>
        <w:t xml:space="preserve">Can Ford Pro maintain double-digit margin while commercial production catches up, or do commodity, tariff, and supply-chain pressures reduce the incremental profitability of the recovery units?</w:t>
      </w:r>
    </w:p>
    <w:p>
      <w:r>
        <w:pict>
          <v:rect style="width:0;height:1.5pt" o:hralign="center" o:hrstd="t" o:hr="t"/>
        </w:pict>
      </w:r>
    </w:p>
    <w:bookmarkEnd w:id="12"/>
    <w:bookmarkStart w:id="13" w:name="X93e2228c657fcb898ac1053edcd575616105c63"/>
    <w:p>
      <w:pPr>
        <w:pStyle w:val="Heading3"/>
      </w:pPr>
      <w:r>
        <w:t xml:space="preserve">4. Model e losses need to remain controlled while investment increases</w:t>
      </w:r>
    </w:p>
    <w:p>
      <w:pPr>
        <w:pStyle w:val="FirstParagraph"/>
      </w:pPr>
      <w:r>
        <w:t xml:space="preserve">Ford’s Model e posted a</w:t>
      </w:r>
      <w:r>
        <w:t xml:space="preserve"> </w:t>
      </w:r>
      <m:oMath>
        <m:r>
          <m:t>777</m:t>
        </m:r>
        <m:r>
          <m:t>m</m:t>
        </m:r>
        <m:r>
          <m:t>i</m:t>
        </m:r>
        <m:r>
          <m:t>l</m:t>
        </m:r>
        <m:r>
          <m:t>l</m:t>
        </m:r>
        <m:r>
          <m:t>i</m:t>
        </m:r>
        <m:r>
          <m:t>o</m:t>
        </m:r>
        <m:r>
          <m:t>n</m:t>
        </m:r>
        <m:r>
          <m:t>E</m:t>
        </m:r>
        <m:r>
          <m:t>B</m:t>
        </m:r>
        <m:r>
          <m:t>I</m:t>
        </m:r>
        <m:r>
          <m:t>T</m:t>
        </m:r>
        <m:r>
          <m:t>l</m:t>
        </m:r>
        <m:r>
          <m:t>o</m:t>
        </m:r>
        <m:r>
          <m:t>s</m:t>
        </m:r>
        <m:r>
          <m:t>s</m:t>
        </m:r>
        <m:r>
          <m:rPr>
            <m:sty m:val="p"/>
          </m:rPr>
          <m:t>*</m:t>
        </m:r>
        <m:r>
          <m:rPr>
            <m:sty m:val="p"/>
          </m:rPr>
          <m:t>*</m:t>
        </m:r>
        <m:r>
          <m:t>i</m:t>
        </m:r>
        <m:r>
          <m:t>n</m:t>
        </m:r>
        <m:r>
          <m:t>Q</m:t>
        </m:r>
        <m:r>
          <m:t>1</m:t>
        </m:r>
        <m:r>
          <m:rPr>
            <m:sty m:val="p"/>
          </m:rPr>
          <m:t>.</m:t>
        </m:r>
        <m:r>
          <m:t>M</m:t>
        </m:r>
        <m:r>
          <m:t>a</m:t>
        </m:r>
        <m:r>
          <m:t>n</m:t>
        </m:r>
        <m:r>
          <m:t>a</m:t>
        </m:r>
        <m:r>
          <m:t>g</m:t>
        </m:r>
        <m:r>
          <m:t>e</m:t>
        </m:r>
        <m:r>
          <m:t>m</m:t>
        </m:r>
        <m:r>
          <m:t>e</m:t>
        </m:r>
        <m:r>
          <m:t>n</m:t>
        </m:r>
        <m:r>
          <m:t>t</m:t>
        </m:r>
        <m:r>
          <m:t>s</m:t>
        </m:r>
        <m:r>
          <m:t>a</m:t>
        </m:r>
        <m:r>
          <m:t>i</m:t>
        </m:r>
        <m:r>
          <m:t>d</m:t>
        </m:r>
        <m:r>
          <m:t>Q</m:t>
        </m:r>
        <m:r>
          <m:t>1</m:t>
        </m:r>
        <m:r>
          <m:t>w</m:t>
        </m:r>
        <m:r>
          <m:t>o</m:t>
        </m:r>
        <m:r>
          <m:t>u</m:t>
        </m:r>
        <m:r>
          <m:t>l</m:t>
        </m:r>
        <m:r>
          <m:t>d</m:t>
        </m:r>
        <m:r>
          <m:t>b</m:t>
        </m:r>
        <m:r>
          <m:t>e</m:t>
        </m:r>
        <m:r>
          <m:t>i</m:t>
        </m:r>
        <m:r>
          <m:t>t</m:t>
        </m:r>
        <m:r>
          <m:t>s</m:t>
        </m:r>
        <m:r>
          <m:t>s</m:t>
        </m:r>
        <m:r>
          <m:t>t</m:t>
        </m:r>
        <m:r>
          <m:t>r</m:t>
        </m:r>
        <m:r>
          <m:t>o</m:t>
        </m:r>
        <m:r>
          <m:t>n</m:t>
        </m:r>
        <m:r>
          <m:t>g</m:t>
        </m:r>
        <m:r>
          <m:t>e</m:t>
        </m:r>
        <m:r>
          <m:t>s</m:t>
        </m:r>
        <m:r>
          <m:t>t</m:t>
        </m:r>
        <m:r>
          <m:t>q</m:t>
        </m:r>
        <m:r>
          <m:t>u</m:t>
        </m:r>
        <m:r>
          <m:t>a</m:t>
        </m:r>
        <m:r>
          <m:t>r</m:t>
        </m:r>
        <m:r>
          <m:t>t</m:t>
        </m:r>
        <m:r>
          <m:t>e</m:t>
        </m:r>
        <m:r>
          <m:t>r</m:t>
        </m:r>
        <m:r>
          <m:t>o</m:t>
        </m:r>
        <m:r>
          <m:t>f</m:t>
        </m:r>
        <m:r>
          <m:t>2026</m:t>
        </m:r>
        <m:r>
          <m:t>a</m:t>
        </m:r>
        <m:r>
          <m:t>n</m:t>
        </m:r>
        <m:r>
          <m:t>d</m:t>
        </m:r>
        <m:r>
          <m:t>r</m:t>
        </m:r>
        <m:r>
          <m:t>e</m:t>
        </m:r>
        <m:r>
          <m:t>t</m:t>
        </m:r>
        <m:r>
          <m:t>a</m:t>
        </m:r>
        <m:r>
          <m:t>i</m:t>
        </m:r>
        <m:r>
          <m:t>n</m:t>
        </m:r>
        <m:r>
          <m:t>e</m:t>
        </m:r>
        <m:r>
          <m:t>d</m:t>
        </m:r>
        <m:r>
          <m:t>f</m:t>
        </m:r>
        <m:r>
          <m:t>u</m:t>
        </m:r>
        <m:r>
          <m:t>l</m:t>
        </m:r>
        <m:r>
          <m:t>l</m:t>
        </m:r>
        <m:r>
          <m:rPr>
            <m:sty m:val="p"/>
          </m:rPr>
          <m:t>−</m:t>
        </m:r>
        <m:r>
          <m:t>y</m:t>
        </m:r>
        <m:r>
          <m:t>e</m:t>
        </m:r>
        <m:r>
          <m:t>a</m:t>
        </m:r>
        <m:r>
          <m:t>r</m:t>
        </m:r>
        <m:r>
          <m:t>M</m:t>
        </m:r>
        <m:r>
          <m:t>o</m:t>
        </m:r>
        <m:r>
          <m:t>d</m:t>
        </m:r>
        <m:r>
          <m:t>e</m:t>
        </m:r>
        <m:r>
          <m:t>l</m:t>
        </m:r>
        <m:r>
          <m:t>e</m:t>
        </m:r>
        <m:r>
          <m:t>E</m:t>
        </m:r>
        <m:r>
          <m:t>B</m:t>
        </m:r>
        <m:r>
          <m:t>I</m:t>
        </m:r>
        <m:r>
          <m:t>T</m:t>
        </m:r>
        <m:r>
          <m:rPr>
            <m:sty m:val="p"/>
          </m:rPr>
          <m:t>−</m:t>
        </m:r>
        <m:r>
          <m:t>l</m:t>
        </m:r>
        <m:r>
          <m:t>o</m:t>
        </m:r>
        <m:r>
          <m:t>s</m:t>
        </m:r>
        <m:r>
          <m:t>s</m:t>
        </m:r>
        <m:r>
          <m:t>g</m:t>
        </m:r>
        <m:r>
          <m:t>u</m:t>
        </m:r>
        <m:r>
          <m:t>i</m:t>
        </m:r>
        <m:r>
          <m:t>d</m:t>
        </m:r>
        <m:r>
          <m:t>a</m:t>
        </m:r>
        <m:r>
          <m:t>n</m:t>
        </m:r>
        <m:r>
          <m:t>c</m:t>
        </m:r>
        <m:r>
          <m:t>e</m:t>
        </m:r>
        <m:r>
          <m:t>o</m:t>
        </m:r>
        <m:r>
          <m:t>f</m:t>
        </m:r>
        <m:r>
          <m:rPr>
            <m:sty m:val="p"/>
          </m:rPr>
          <m:t>*</m:t>
        </m:r>
        <m:r>
          <m:rPr>
            <m:sty m:val="p"/>
          </m:rPr>
          <m:t>*</m:t>
        </m:r>
      </m:oMath>
      <w:r>
        <w:rPr>
          <w:b/>
          <w:bCs/>
        </w:rPr>
        <w:t xml:space="preserve">4.0–</w:t>
      </w:r>
      <m:oMath>
        <m:r>
          <m:t>4.5</m:t>
        </m:r>
        <m:r>
          <m:t>b</m:t>
        </m:r>
        <m:r>
          <m:t>i</m:t>
        </m:r>
        <m:r>
          <m:t>l</m:t>
        </m:r>
        <m:r>
          <m:t>l</m:t>
        </m:r>
        <m:r>
          <m:t>i</m:t>
        </m:r>
        <m:r>
          <m:t>o</m:t>
        </m:r>
        <m:r>
          <m:t>n</m:t>
        </m:r>
        <m:r>
          <m:rPr>
            <m:sty m:val="p"/>
          </m:rPr>
          <m:t>*</m:t>
        </m:r>
        <m:r>
          <m:rPr>
            <m:sty m:val="p"/>
          </m:rPr>
          <m:t>*</m:t>
        </m:r>
        <m:r>
          <m:rPr>
            <m:sty m:val="p"/>
          </m:rPr>
          <m:t>.</m:t>
        </m:r>
        <m:r>
          <m:t>I</m:t>
        </m:r>
        <m:r>
          <m:t>t</m:t>
        </m:r>
        <m:r>
          <m:t>i</m:t>
        </m:r>
        <m:r>
          <m:t>s</m:t>
        </m:r>
        <m:r>
          <m:t>a</m:t>
        </m:r>
        <m:r>
          <m:t>l</m:t>
        </m:r>
        <m:r>
          <m:t>s</m:t>
        </m:r>
        <m:r>
          <m:t>o</m:t>
        </m:r>
        <m:r>
          <m:t>c</m:t>
        </m:r>
        <m:r>
          <m:t>o</m:t>
        </m:r>
        <m:r>
          <m:t>m</m:t>
        </m:r>
        <m:r>
          <m:t>m</m:t>
        </m:r>
        <m:r>
          <m:t>i</m:t>
        </m:r>
        <m:r>
          <m:t>t</m:t>
        </m:r>
        <m:r>
          <m:t>t</m:t>
        </m:r>
        <m:r>
          <m:t>i</m:t>
        </m:r>
        <m:r>
          <m:t>n</m:t>
        </m:r>
        <m:r>
          <m:t>g</m:t>
        </m:r>
        <m:r>
          <m:t>r</m:t>
        </m:r>
        <m:r>
          <m:t>o</m:t>
        </m:r>
        <m:r>
          <m:t>u</m:t>
        </m:r>
        <m:r>
          <m:t>g</m:t>
        </m:r>
        <m:r>
          <m:t>h</m:t>
        </m:r>
        <m:r>
          <m:t>l</m:t>
        </m:r>
        <m:r>
          <m:t>y</m:t>
        </m:r>
        <m:r>
          <m:rPr>
            <m:sty m:val="p"/>
          </m:rPr>
          <m:t>*</m:t>
        </m:r>
        <m:r>
          <m:rPr>
            <m:sty m:val="p"/>
          </m:rPr>
          <m:t>*</m:t>
        </m:r>
      </m:oMath>
      <w:r>
        <w:rPr>
          <w:b/>
          <w:bCs/>
        </w:rPr>
        <w:t xml:space="preserve">1 billion</w:t>
      </w:r>
      <w:r>
        <w:t xml:space="preserve"> </w:t>
      </w:r>
      <w:r>
        <w:t xml:space="preserve">of incremental investment this year to the Universal EV platform and Ford Energy.</w:t>
      </w:r>
    </w:p>
    <w:p>
      <w:pPr>
        <w:pStyle w:val="BodyText"/>
      </w:pPr>
      <w:r>
        <w:t xml:space="preserve">Therefore, a sequentially worse Model e result would not itself be surprising. The relevant questions are:</w:t>
      </w:r>
    </w:p>
    <w:p>
      <w:pPr>
        <w:pStyle w:val="Compact"/>
        <w:numPr>
          <w:ilvl w:val="0"/>
          <w:numId w:val="1004"/>
        </w:numPr>
      </w:pPr>
      <w:r>
        <w:t xml:space="preserve">Are losses remaining within the full-year range?</w:t>
      </w:r>
    </w:p>
    <w:p>
      <w:pPr>
        <w:pStyle w:val="Compact"/>
        <w:numPr>
          <w:ilvl w:val="0"/>
          <w:numId w:val="1004"/>
        </w:numPr>
      </w:pPr>
      <w:r>
        <w:t xml:space="preserve">Is the company making progress on first-generation EV losses and capacity discipline?</w:t>
      </w:r>
    </w:p>
    <w:p>
      <w:pPr>
        <w:pStyle w:val="Compact"/>
        <w:numPr>
          <w:ilvl w:val="0"/>
          <w:numId w:val="1004"/>
        </w:numPr>
      </w:pPr>
      <w:r>
        <w:t xml:space="preserve">Is the 2027 Universal EV launch timeline and cost plan unchanged?</w:t>
      </w:r>
    </w:p>
    <w:p>
      <w:pPr>
        <w:pStyle w:val="Compact"/>
        <w:numPr>
          <w:ilvl w:val="0"/>
          <w:numId w:val="1004"/>
        </w:numPr>
      </w:pPr>
      <w:r>
        <w:t xml:space="preserve">Does the newly announced Geely partnership in Valencia improve the European industrial footprint without creating new capital or execution risks?</w:t>
      </w:r>
    </w:p>
    <w:p>
      <w:pPr>
        <w:pStyle w:val="FirstParagraph"/>
      </w:pPr>
      <w:r>
        <w:t xml:space="preserve">Ford and Geely announced on July 23 that they will form a Valencia, Spain EV manufacturing joint venture and jointly develop an SUV, with operations expected to begin in 2027 and first vehicle production in 2028. That initiative is strategically relevant but should not be a material 2026 earnings driver.</w:t>
      </w:r>
    </w:p>
    <w:p>
      <w:r>
        <w:pict>
          <v:rect style="width:0;height:1.5pt" o:hralign="center" o:hrstd="t" o:hr="t"/>
        </w:pict>
      </w:r>
    </w:p>
    <w:bookmarkEnd w:id="13"/>
    <w:bookmarkEnd w:id="14"/>
    <w:bookmarkStart w:id="15" w:name="X65d014aa291d56f7e57429f4bbe5e71db2b985a"/>
    <w:p>
      <w:pPr>
        <w:pStyle w:val="Heading2"/>
      </w:pPr>
      <w:r>
        <w:t xml:space="preserve">Guidance: reaffirmation is the minimum; the quality of the bridge matters more</w:t>
      </w:r>
    </w:p>
    <w:p>
      <w:pPr>
        <w:pStyle w:val="FirstParagraph"/>
      </w:pPr>
      <w:r>
        <w:t xml:space="preserve">Ford’s current 2026 outlook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w:t>
            </w:r>
          </w:p>
        </w:tc>
        <w:tc>
          <w:tcPr/>
          <w:p>
            <w:pPr>
              <w:pStyle w:val="Compact"/>
              <w:jc w:val="right"/>
            </w:pPr>
            <w:r>
              <w:t xml:space="preserve">Current outlook</w:t>
            </w:r>
          </w:p>
        </w:tc>
      </w:tr>
      <w:tr>
        <w:tc>
          <w:tcPr/>
          <w:p>
            <w:pPr>
              <w:pStyle w:val="Compact"/>
            </w:pPr>
            <w:r>
              <w:t xml:space="preserve">Adjusted EBIT</w:t>
            </w:r>
          </w:p>
        </w:tc>
        <w:tc>
          <w:tcPr/>
          <w:p>
            <w:pPr>
              <w:pStyle w:val="Compact"/>
              <w:jc w:val="right"/>
            </w:pPr>
            <m:oMath>
              <m:r>
                <m:t>8.5</m:t>
              </m:r>
              <m:r>
                <m:t>B</m:t>
              </m:r>
              <m:r>
                <m:rPr>
                  <m:sty m:val="p"/>
                </m:rPr>
                <m:t>–</m:t>
              </m:r>
            </m:oMath>
            <w:r>
              <w:rPr>
                <w:b/>
                <w:bCs/>
              </w:rPr>
              <w:t xml:space="preserve">10.5B</w:t>
            </w:r>
          </w:p>
        </w:tc>
      </w:tr>
      <w:tr>
        <w:tc>
          <w:tcPr/>
          <w:p>
            <w:pPr>
              <w:pStyle w:val="Compact"/>
            </w:pPr>
            <w:r>
              <w:t xml:space="preserve">Adjusted free cash flow</w:t>
            </w:r>
          </w:p>
        </w:tc>
        <w:tc>
          <w:tcPr/>
          <w:p>
            <w:pPr>
              <w:pStyle w:val="Compact"/>
              <w:jc w:val="right"/>
            </w:pPr>
            <m:oMath>
              <m:r>
                <m:t>5.0</m:t>
              </m:r>
              <m:r>
                <m:t>B</m:t>
              </m:r>
              <m:r>
                <m:rPr>
                  <m:sty m:val="p"/>
                </m:rPr>
                <m:t>–</m:t>
              </m:r>
            </m:oMath>
            <w:r>
              <w:rPr>
                <w:b/>
                <w:bCs/>
              </w:rPr>
              <w:t xml:space="preserve">6.0B</w:t>
            </w:r>
          </w:p>
        </w:tc>
      </w:tr>
      <w:tr>
        <w:tc>
          <w:tcPr/>
          <w:p>
            <w:pPr>
              <w:pStyle w:val="Compact"/>
            </w:pPr>
            <w:r>
              <w:t xml:space="preserve">Capital expenditures</w:t>
            </w:r>
          </w:p>
        </w:tc>
        <w:tc>
          <w:tcPr/>
          <w:p>
            <w:pPr>
              <w:pStyle w:val="Compact"/>
              <w:jc w:val="right"/>
            </w:pPr>
            <m:oMath>
              <m:r>
                <m:t>9.5</m:t>
              </m:r>
              <m:r>
                <m:t>B</m:t>
              </m:r>
              <m:r>
                <m:rPr>
                  <m:sty m:val="p"/>
                </m:rPr>
                <m:t>–</m:t>
              </m:r>
            </m:oMath>
            <w:r>
              <w:rPr>
                <w:b/>
                <w:bCs/>
              </w:rPr>
              <w:t xml:space="preserve">10.5B</w:t>
            </w:r>
          </w:p>
        </w:tc>
      </w:tr>
      <w:tr>
        <w:tc>
          <w:tcPr/>
          <w:p>
            <w:pPr>
              <w:pStyle w:val="Compact"/>
            </w:pPr>
            <w:r>
              <w:t xml:space="preserve">Ford Pro EBIT</w:t>
            </w:r>
          </w:p>
        </w:tc>
        <w:tc>
          <w:tcPr/>
          <w:p>
            <w:pPr>
              <w:pStyle w:val="Compact"/>
              <w:jc w:val="right"/>
            </w:pPr>
            <m:oMath>
              <m:r>
                <m:t>6.5</m:t>
              </m:r>
              <m:r>
                <m:t>B</m:t>
              </m:r>
              <m:r>
                <m:rPr>
                  <m:sty m:val="p"/>
                </m:rPr>
                <m:t>–</m:t>
              </m:r>
            </m:oMath>
            <w:r>
              <w:rPr>
                <w:b/>
                <w:bCs/>
              </w:rPr>
              <w:t xml:space="preserve">7.5B</w:t>
            </w:r>
          </w:p>
        </w:tc>
      </w:tr>
      <w:tr>
        <w:tc>
          <w:tcPr/>
          <w:p>
            <w:pPr>
              <w:pStyle w:val="Compact"/>
            </w:pPr>
            <w:r>
              <w:t xml:space="preserve">Ford Blue EBIT</w:t>
            </w:r>
          </w:p>
        </w:tc>
        <w:tc>
          <w:tcPr/>
          <w:p>
            <w:pPr>
              <w:pStyle w:val="Compact"/>
              <w:jc w:val="right"/>
            </w:pPr>
            <m:oMath>
              <m:r>
                <m:t>4.5</m:t>
              </m:r>
              <m:r>
                <m:t>B</m:t>
              </m:r>
              <m:r>
                <m:rPr>
                  <m:sty m:val="p"/>
                </m:rPr>
                <m:t>–</m:t>
              </m:r>
            </m:oMath>
            <w:r>
              <w:rPr>
                <w:b/>
                <w:bCs/>
              </w:rPr>
              <w:t xml:space="preserve">5.0B</w:t>
            </w:r>
          </w:p>
        </w:tc>
      </w:tr>
      <w:tr>
        <w:tc>
          <w:tcPr/>
          <w:p>
            <w:pPr>
              <w:pStyle w:val="Compact"/>
            </w:pPr>
            <w:r>
              <w:t xml:space="preserve">Model e EBIT loss</w:t>
            </w:r>
          </w:p>
        </w:tc>
        <w:tc>
          <w:tcPr/>
          <w:p>
            <w:pPr>
              <w:pStyle w:val="Compact"/>
              <w:jc w:val="right"/>
            </w:pPr>
            <m:oMath>
              <m:r>
                <m:rPr>
                  <m:sty m:val="p"/>
                </m:rPr>
                <m:t>(</m:t>
              </m:r>
              <m:r>
                <m:t>4.0</m:t>
              </m:r>
              <m:r>
                <m:t>B</m:t>
              </m:r>
              <m:r>
                <m:rPr>
                  <m:sty m:val="p"/>
                </m:rPr>
                <m:t>)</m:t>
              </m:r>
              <m:r>
                <m:rPr>
                  <m:sty m:val="p"/>
                </m:rPr>
                <m:t>–</m:t>
              </m:r>
            </m:oMath>
            <w:r>
              <w:rPr>
                <w:b/>
                <w:bCs/>
              </w:rPr>
              <w:t xml:space="preserve">(4.5B)</w:t>
            </w:r>
          </w:p>
        </w:tc>
      </w:tr>
      <w:tr>
        <w:tc>
          <w:tcPr/>
          <w:p>
            <w:pPr>
              <w:pStyle w:val="Compact"/>
            </w:pPr>
            <w:r>
              <w:t xml:space="preserve">Ford Credit EBT</w:t>
            </w:r>
          </w:p>
        </w:tc>
        <w:tc>
          <w:tcPr/>
          <w:p>
            <w:pPr>
              <w:pStyle w:val="Compact"/>
              <w:jc w:val="right"/>
            </w:pPr>
            <w:r>
              <w:t xml:space="preserve">Approximately</w:t>
            </w:r>
            <w:r>
              <w:t xml:space="preserve"> </w:t>
            </w:r>
            <w:r>
              <w:rPr>
                <w:b/>
                <w:bCs/>
              </w:rPr>
              <w:t xml:space="preserve">$2.5B</w:t>
            </w:r>
          </w:p>
        </w:tc>
      </w:tr>
      <w:tr>
        <w:tc>
          <w:tcPr/>
          <w:p>
            <w:pPr>
              <w:pStyle w:val="Compact"/>
            </w:pPr>
            <w:r>
              <w:t xml:space="preserve">Assumed U.S. SAAR</w:t>
            </w:r>
          </w:p>
        </w:tc>
        <w:tc>
          <w:tcPr/>
          <w:p>
            <w:pPr>
              <w:pStyle w:val="Compact"/>
              <w:jc w:val="right"/>
            </w:pPr>
            <w:r>
              <w:rPr>
                <w:b/>
                <w:bCs/>
              </w:rPr>
              <w:t xml:space="preserve">16.0M–16.5M</w:t>
            </w:r>
          </w:p>
        </w:tc>
      </w:tr>
      <w:tr>
        <w:tc>
          <w:tcPr/>
          <w:p>
            <w:pPr>
              <w:pStyle w:val="Compact"/>
            </w:pPr>
            <w:r>
              <w:t xml:space="preserve">Industry pricing assumption</w:t>
            </w:r>
          </w:p>
        </w:tc>
        <w:tc>
          <w:tcPr/>
          <w:p>
            <w:pPr>
              <w:pStyle w:val="Compact"/>
              <w:jc w:val="right"/>
            </w:pPr>
            <w:r>
              <w:t xml:space="preserve">Flat</w:t>
            </w:r>
          </w:p>
        </w:tc>
      </w:tr>
    </w:tbl>
    <w:p>
      <w:pPr>
        <w:pStyle w:val="BodyText"/>
      </w:pPr>
      <w:r>
        <w:t xml:space="preserve">There is a strong case that Ford can retain this guide: profitable mix, growing service revenue, a healthy Ford Credit book, ongoing material/warranty actions, and expected second-half supply normalization all support it.</w:t>
      </w:r>
    </w:p>
    <w:p>
      <w:pPr>
        <w:pStyle w:val="BodyText"/>
      </w:pPr>
      <w:r>
        <w:t xml:space="preserve">But the guide is exposed to several factors that warrant explicit discussion:</w:t>
      </w:r>
    </w:p>
    <w:p>
      <w:pPr>
        <w:pStyle w:val="Compact"/>
        <w:numPr>
          <w:ilvl w:val="0"/>
          <w:numId w:val="1005"/>
        </w:numPr>
      </w:pPr>
      <w:r>
        <w:rPr>
          <w:b/>
          <w:bCs/>
        </w:rPr>
        <w:t xml:space="preserve">Commodity costs:</w:t>
      </w:r>
      <w:r>
        <w:t xml:space="preserve"> </w:t>
      </w:r>
      <w:r>
        <w:t xml:space="preserve">Ford previously forecast more than</w:t>
      </w:r>
      <w:r>
        <w:t xml:space="preserve"> </w:t>
      </w:r>
      <w:r>
        <w:rPr>
          <w:b/>
          <w:bCs/>
        </w:rPr>
        <w:t xml:space="preserve">$2 billion</w:t>
      </w:r>
      <w:r>
        <w:t xml:space="preserve"> </w:t>
      </w:r>
      <w:r>
        <w:t xml:space="preserve">of commodity headwinds, led by aluminum and excluding Novelis-related temporary sourcing costs.</w:t>
      </w:r>
    </w:p>
    <w:p>
      <w:pPr>
        <w:pStyle w:val="Compact"/>
        <w:numPr>
          <w:ilvl w:val="0"/>
          <w:numId w:val="1005"/>
        </w:numPr>
      </w:pPr>
      <w:r>
        <w:rPr>
          <w:b/>
          <w:bCs/>
        </w:rPr>
        <w:t xml:space="preserve">Tariffs:</w:t>
      </w:r>
      <w:r>
        <w:t xml:space="preserve"> </w:t>
      </w:r>
      <w:r>
        <w:t xml:space="preserve">The prior outlook included about</w:t>
      </w:r>
      <w:r>
        <w:t xml:space="preserve"> </w:t>
      </w:r>
      <w:r>
        <w:rPr>
          <w:b/>
          <w:bCs/>
        </w:rPr>
        <w:t xml:space="preserve">$1 billion</w:t>
      </w:r>
      <w:r>
        <w:t xml:space="preserve"> </w:t>
      </w:r>
      <w:r>
        <w:t xml:space="preserve">of ongoing tariff costs. Recent trade-policy developments—particularly late-July tariff actions and Canada-related threats—could create incremental uncertainty that may not have been reflected in the April framework.</w:t>
      </w:r>
    </w:p>
    <w:p>
      <w:pPr>
        <w:pStyle w:val="Compact"/>
        <w:numPr>
          <w:ilvl w:val="0"/>
          <w:numId w:val="1005"/>
        </w:numPr>
      </w:pPr>
      <w:r>
        <w:rPr>
          <w:b/>
          <w:bCs/>
        </w:rPr>
        <w:t xml:space="preserve">Macro and energy:</w:t>
      </w:r>
      <w:r>
        <w:t xml:space="preserve"> </w:t>
      </w:r>
      <w:r>
        <w:t xml:space="preserve">Ford explicitly excluded a sustained Middle East conflict and a major U.S. downturn from its prior guidance. Higher fuel prices, inflation, and financing costs could weaken consumer demand, especially for higher-ticket vehicles.</w:t>
      </w:r>
    </w:p>
    <w:p>
      <w:pPr>
        <w:pStyle w:val="Compact"/>
        <w:numPr>
          <w:ilvl w:val="0"/>
          <w:numId w:val="1005"/>
        </w:numPr>
      </w:pPr>
      <w:r>
        <w:rPr>
          <w:b/>
          <w:bCs/>
        </w:rPr>
        <w:t xml:space="preserve">Pricing:</w:t>
      </w:r>
      <w:r>
        <w:t xml:space="preserve"> </w:t>
      </w:r>
      <w:r>
        <w:t xml:space="preserve">The guide assumes flat industry pricing. A turn toward higher incentives across full-size trucks or SUVs could materially alter the margin outlook.</w:t>
      </w:r>
    </w:p>
    <w:p>
      <w:pPr>
        <w:pStyle w:val="Compact"/>
        <w:numPr>
          <w:ilvl w:val="0"/>
          <w:numId w:val="1005"/>
        </w:numPr>
      </w:pPr>
      <w:r>
        <w:rPr>
          <w:b/>
          <w:bCs/>
        </w:rPr>
        <w:t xml:space="preserve">Cash conversion:</w:t>
      </w:r>
      <w:r>
        <w:t xml:space="preserve"> </w:t>
      </w:r>
      <w:r>
        <w:t xml:space="preserve">Ford generated a</w:t>
      </w:r>
      <w:r>
        <w:t xml:space="preserve"> </w:t>
      </w:r>
      <w:r>
        <w:rPr>
          <w:b/>
          <w:bCs/>
        </w:rPr>
        <w:t xml:space="preserve">$1.9 billion adjusted free-cash-flow use</w:t>
      </w:r>
      <w:r>
        <w:t xml:space="preserve"> </w:t>
      </w:r>
      <w:r>
        <w:t xml:space="preserve">in Q1, although management characterized it as timing-driven and maintained full-year FCF guidance. Q2 working capital, inventory, capex, and Ford Credit distributions will be important corroborating data points.</w:t>
      </w:r>
    </w:p>
    <w:p>
      <w:r>
        <w:pict>
          <v:rect style="width:0;height:1.5pt" o:hralign="center" o:hrstd="t" o:hr="t"/>
        </w:pict>
      </w:r>
    </w:p>
    <w:bookmarkEnd w:id="15"/>
    <w:bookmarkStart w:id="18" w:name="earnings-call-scorecard"/>
    <w:p>
      <w:pPr>
        <w:pStyle w:val="Heading2"/>
      </w:pPr>
      <w:r>
        <w:t xml:space="preserve">Earnings-call scorecard</w:t>
      </w:r>
    </w:p>
    <w:bookmarkStart w:id="16" w:name="bullish-outcomes"/>
    <w:p>
      <w:pPr>
        <w:pStyle w:val="Heading3"/>
      </w:pPr>
      <w:r>
        <w:t xml:space="preserve">Bullish outcomes</w:t>
      </w:r>
    </w:p>
    <w:p>
      <w:pPr>
        <w:pStyle w:val="Compact"/>
        <w:numPr>
          <w:ilvl w:val="0"/>
          <w:numId w:val="1006"/>
        </w:numPr>
      </w:pPr>
      <w:r>
        <w:t xml:space="preserve">Full-year adjusted EBIT and FCF guidance</w:t>
      </w:r>
      <w:r>
        <w:t xml:space="preserve"> </w:t>
      </w:r>
      <w:r>
        <w:rPr>
          <w:b/>
          <w:bCs/>
        </w:rPr>
        <w:t xml:space="preserve">reaffirmed with more confidence</w:t>
      </w:r>
      <w:r>
        <w:t xml:space="preserve"> </w:t>
      </w:r>
      <w:r>
        <w:t xml:space="preserve">or raised.</w:t>
      </w:r>
    </w:p>
    <w:p>
      <w:pPr>
        <w:pStyle w:val="Compact"/>
        <w:numPr>
          <w:ilvl w:val="0"/>
          <w:numId w:val="1006"/>
        </w:numPr>
      </w:pPr>
      <w:r>
        <w:t xml:space="preserve">Clear evidence that Novelis recovery units and deferred Ford Pro demand are landing on schedule.</w:t>
      </w:r>
    </w:p>
    <w:p>
      <w:pPr>
        <w:pStyle w:val="Compact"/>
        <w:numPr>
          <w:ilvl w:val="0"/>
          <w:numId w:val="1006"/>
        </w:numPr>
      </w:pPr>
      <w:r>
        <w:t xml:space="preserve">Ford Blue margin holds up despite lower headline volume.</w:t>
      </w:r>
    </w:p>
    <w:p>
      <w:pPr>
        <w:pStyle w:val="Compact"/>
        <w:numPr>
          <w:ilvl w:val="0"/>
          <w:numId w:val="1006"/>
        </w:numPr>
      </w:pPr>
      <w:r>
        <w:t xml:space="preserve">Ford Pro sustains double-digit profitability and shows continued subscription/physical-service momentum.</w:t>
      </w:r>
    </w:p>
    <w:p>
      <w:pPr>
        <w:pStyle w:val="Compact"/>
        <w:numPr>
          <w:ilvl w:val="0"/>
          <w:numId w:val="1006"/>
        </w:numPr>
      </w:pPr>
      <w:r>
        <w:t xml:space="preserve">Management says commodity/tariff pressures remain within the April planning framework.</w:t>
      </w:r>
    </w:p>
    <w:p>
      <w:pPr>
        <w:pStyle w:val="Compact"/>
        <w:numPr>
          <w:ilvl w:val="0"/>
          <w:numId w:val="1006"/>
        </w:numPr>
      </w:pPr>
      <w:r>
        <w:t xml:space="preserve">Model e loss trajectory is no worse than expected, while 2027 UEV and Ford Energy milestones remain on track.</w:t>
      </w:r>
    </w:p>
    <w:bookmarkEnd w:id="16"/>
    <w:bookmarkStart w:id="17" w:name="bearish-outcomes"/>
    <w:p>
      <w:pPr>
        <w:pStyle w:val="Heading3"/>
      </w:pPr>
      <w:r>
        <w:t xml:space="preserve">Bearish outcomes</w:t>
      </w:r>
    </w:p>
    <w:p>
      <w:pPr>
        <w:pStyle w:val="Compact"/>
        <w:numPr>
          <w:ilvl w:val="0"/>
          <w:numId w:val="1007"/>
        </w:numPr>
      </w:pPr>
      <w:r>
        <w:t xml:space="preserve">Management points to a delayed or more expensive Novelis ramp.</w:t>
      </w:r>
    </w:p>
    <w:p>
      <w:pPr>
        <w:pStyle w:val="Compact"/>
        <w:numPr>
          <w:ilvl w:val="0"/>
          <w:numId w:val="1007"/>
        </w:numPr>
      </w:pPr>
      <w:r>
        <w:t xml:space="preserve">Full-year guidance is cut, or retained only with a materially more aggressive second-half assumption.</w:t>
      </w:r>
    </w:p>
    <w:p>
      <w:pPr>
        <w:pStyle w:val="Compact"/>
        <w:numPr>
          <w:ilvl w:val="0"/>
          <w:numId w:val="1007"/>
        </w:numPr>
      </w:pPr>
      <w:r>
        <w:t xml:space="preserve">Ford Blue margins weaken because of incentives, lower production, or aluminum costs.</w:t>
      </w:r>
    </w:p>
    <w:p>
      <w:pPr>
        <w:pStyle w:val="Compact"/>
        <w:numPr>
          <w:ilvl w:val="0"/>
          <w:numId w:val="1007"/>
        </w:numPr>
      </w:pPr>
      <w:r>
        <w:t xml:space="preserve">Ford Pro margin falls as commercial recovery units carry lower contribution economics.</w:t>
      </w:r>
    </w:p>
    <w:p>
      <w:pPr>
        <w:pStyle w:val="Compact"/>
        <w:numPr>
          <w:ilvl w:val="0"/>
          <w:numId w:val="1007"/>
        </w:numPr>
      </w:pPr>
      <w:r>
        <w:t xml:space="preserve">Model e investment or loss guidance rises.</w:t>
      </w:r>
    </w:p>
    <w:p>
      <w:pPr>
        <w:pStyle w:val="Compact"/>
        <w:numPr>
          <w:ilvl w:val="0"/>
          <w:numId w:val="1007"/>
        </w:numPr>
      </w:pPr>
      <w:r>
        <w:t xml:space="preserve">Ford highlights incremental tariff, oil/energy, or consumer-demand pressure that was not embedded in prior guidance.</w:t>
      </w:r>
    </w:p>
    <w:p>
      <w:r>
        <w:pict>
          <v:rect style="width:0;height:1.5pt" o:hralign="center" o:hrstd="t" o:hr="t"/>
        </w:pict>
      </w:r>
    </w:p>
    <w:bookmarkEnd w:id="17"/>
    <w:bookmarkEnd w:id="18"/>
    <w:bookmarkStart w:id="20" w:name="bottom-line"/>
    <w:p>
      <w:pPr>
        <w:pStyle w:val="Heading2"/>
      </w:pPr>
      <w:r>
        <w:t xml:space="preserve">Bottom line</w:t>
      </w:r>
    </w:p>
    <w:p>
      <w:pPr>
        <w:pStyle w:val="FirstParagraph"/>
      </w:pPr>
      <w:r>
        <w:t xml:space="preserve">Ford’s Q2 report is likely to look weaker on</w:t>
      </w:r>
      <w:r>
        <w:t xml:space="preserve"> </w:t>
      </w:r>
      <w:r>
        <w:rPr>
          <w:b/>
          <w:bCs/>
        </w:rPr>
        <w:t xml:space="preserve">headline volume</w:t>
      </w:r>
      <w:r>
        <w:t xml:space="preserve"> </w:t>
      </w:r>
      <w:r>
        <w:t xml:space="preserve">and potentially on</w:t>
      </w:r>
      <w:r>
        <w:t xml:space="preserve"> </w:t>
      </w:r>
      <w:r>
        <w:rPr>
          <w:b/>
          <w:bCs/>
        </w:rPr>
        <w:t xml:space="preserve">reported year-over-year EBIT</w:t>
      </w:r>
      <w:r>
        <w:t xml:space="preserve"> </w:t>
      </w:r>
      <w:r>
        <w:t xml:space="preserve">than Q1, by design: the first quarter benefited from a $1.3 billion non-recurring tariff item, while Q2 bears continued transition, commodity, and investment pressure.</w:t>
      </w:r>
    </w:p>
    <w:p>
      <w:pPr>
        <w:pStyle w:val="BodyText"/>
      </w:pPr>
      <w:r>
        <w:t xml:space="preserve">That does not necessarily break the investment case. The more important issue is whether Ford can demonstrate that its profitable trucks/SUVs, Ford Pro ecosystem, cost actions, and second-half supply recovery are sufficient to deliver the current full-year EBIT and free-cash-flow ranges.</w:t>
      </w:r>
      <w:r>
        <w:t xml:space="preserve"> </w:t>
      </w:r>
      <w:r>
        <w:rPr>
          <w:b/>
          <w:bCs/>
        </w:rPr>
        <w:t xml:space="preserve">Guidance credibility, Ford Pro margin durability, and the Novelis recovery are the three variables most likely to determine the stock’s reaction.</w:t>
      </w:r>
    </w:p>
    <w:bookmarkStart w:id="19" w:name="research-basis"/>
    <w:p>
      <w:pPr>
        <w:pStyle w:val="Heading3"/>
      </w:pPr>
      <w:r>
        <w:t xml:space="preserve">Research basis</w:t>
      </w:r>
    </w:p>
    <w:p>
      <w:pPr>
        <w:pStyle w:val="Compact"/>
        <w:numPr>
          <w:ilvl w:val="0"/>
          <w:numId w:val="1008"/>
        </w:numPr>
      </w:pPr>
      <w:r>
        <w:t xml:space="preserve">Ford 1Q26 earnings release and earnings-call transcript, April 29, 2026</w:t>
      </w:r>
    </w:p>
    <w:p>
      <w:pPr>
        <w:pStyle w:val="Compact"/>
        <w:numPr>
          <w:ilvl w:val="0"/>
          <w:numId w:val="1008"/>
        </w:numPr>
      </w:pPr>
      <w:r>
        <w:t xml:space="preserve">Ford U.S. 2Q26 sales release, July 2, 2026</w:t>
      </w:r>
    </w:p>
    <w:p>
      <w:pPr>
        <w:pStyle w:val="Compact"/>
        <w:numPr>
          <w:ilvl w:val="0"/>
          <w:numId w:val="1008"/>
        </w:numPr>
      </w:pPr>
      <w:r>
        <w:t xml:space="preserve">Ford-related market and news digest through July 27, 2026</w:t>
      </w:r>
    </w:p>
    <w:p>
      <w:pPr>
        <w:pStyle w:val="Compact"/>
        <w:numPr>
          <w:ilvl w:val="0"/>
          <w:numId w:val="1008"/>
        </w:numPr>
      </w:pPr>
      <w:r>
        <w:t xml:space="preserve">Ford historical share-price data through July 27, 2026</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2026-07-28T01:17:25Z</dcterms:created>
  <dcterms:modified xsi:type="dcterms:W3CDTF">2026-07-28T01:17:25Z</dcterms:modified>
</cp:coreProperties>
</file>

<file path=docProps/custom.xml><?xml version="1.0" encoding="utf-8"?>
<Properties xmlns="http://schemas.openxmlformats.org/officeDocument/2006/custom-properties" xmlns:vt="http://schemas.openxmlformats.org/officeDocument/2006/docPropsVTypes"/>
</file>