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-earnings-predictions--2026-07-28"/>
    <w:p>
      <w:pPr>
        <w:pStyle w:val="Heading1"/>
      </w:pPr>
      <w:r>
        <w:t xml:space="preserve">F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Ford Pro EBIT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~$1.95B vs. cons $1.907B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Model e EBIT loss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1.15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1.126B)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~$2.15B vs. cons $2.114B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10.5B maintained vs. cons $9.543B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Ford Pro EBIT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7.5B maintained vs. cons $7.081B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Model e loss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(</w:t>
            </w:r>
            <m:oMath>
              <m:r>
                <m:t>4.0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(</m:t>
              </m:r>
            </m:oMath>
            <w:r>
              <w:t xml:space="preserve">4.5B) maintained vs. cons ($4.356B) (Visible Alpha, Jul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cadence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slight upgrade on Q4 vs. prior 'fairly consistent Q2/Q3/Q4' framing (Q1 2026 earnings call)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models implicit H2 cut on maintained guide; Ford Energy narrative provides partial floor but does not flip the sign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2026-07-31T02:04:39Z</dcterms:created>
  <dcterms:modified xsi:type="dcterms:W3CDTF">2026-07-31T02:04:39Z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