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Ford Motor Company (F)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Ford Motor Company</w:t>
            </w:r>
          </w:p>
        </w:tc>
      </w:tr>
      <w:tr>
        <w:tc>
          <w:tcPr>
            <w:tcW w:type="dxa" w:w="4320"/>
          </w:tcPr>
          <w:p>
            <w:r>
              <w:rPr>
                <w:rFonts w:ascii="Calibri" w:hAnsi="Calibri"/>
                <w:b/>
                <w:sz w:val="22"/>
              </w:rPr>
              <w:t>Ticker</w:t>
            </w:r>
          </w:p>
        </w:tc>
        <w:tc>
          <w:tcPr>
            <w:tcW w:type="dxa" w:w="4320"/>
          </w:tcPr>
          <w:p>
            <w:r>
              <w:rPr>
                <w:rFonts w:ascii="Calibri" w:hAnsi="Calibri"/>
                <w:sz w:val="22"/>
              </w:rPr>
              <w:t>F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ending June 30, 2026)</w:t>
            </w:r>
          </w:p>
        </w:tc>
      </w:tr>
      <w:tr>
        <w:tc>
          <w:tcPr>
            <w:tcW w:type="dxa" w:w="4320"/>
          </w:tcPr>
          <w:p>
            <w:r>
              <w:rPr>
                <w:rFonts w:ascii="Calibri" w:hAnsi="Calibri"/>
                <w:b/>
                <w:sz w:val="22"/>
              </w:rPr>
              <w:t>Earnings Date</w:t>
            </w:r>
          </w:p>
        </w:tc>
        <w:tc>
          <w:tcPr>
            <w:tcW w:type="dxa" w:w="4320"/>
          </w:tcPr>
          <w:p>
            <w:r>
              <w:rPr>
                <w:rFonts w:ascii="Calibri" w:hAnsi="Calibri"/>
                <w:sz w:val="22"/>
              </w:rPr>
              <w:t>July 28, 2026 (After Market Close)</w:t>
            </w:r>
          </w:p>
        </w:tc>
      </w:tr>
      <w:tr>
        <w:tc>
          <w:tcPr>
            <w:tcW w:type="dxa" w:w="4320"/>
          </w:tcPr>
          <w:p>
            <w:r>
              <w:rPr>
                <w:rFonts w:ascii="Calibri" w:hAnsi="Calibri"/>
                <w:b/>
                <w:sz w:val="22"/>
              </w:rPr>
              <w:t>Prepared Date</w:t>
            </w:r>
          </w:p>
        </w:tc>
        <w:tc>
          <w:tcPr>
            <w:tcW w:type="dxa" w:w="4320"/>
          </w:tcPr>
          <w:p>
            <w:r>
              <w:rPr>
                <w:rFonts w:ascii="Calibri" w:hAnsi="Calibri"/>
                <w:sz w:val="22"/>
              </w:rPr>
              <w:t>July 28, 2026</w:t>
            </w:r>
          </w:p>
        </w:tc>
      </w:tr>
      <w:tr>
        <w:tc>
          <w:tcPr>
            <w:tcW w:type="dxa" w:w="4320"/>
          </w:tcPr>
          <w:p>
            <w:r>
              <w:rPr>
                <w:rFonts w:ascii="Calibri" w:hAnsi="Calibri"/>
                <w:b/>
                <w:sz w:val="22"/>
              </w:rPr>
              <w:t>Analyst Conference Call</w:t>
            </w:r>
          </w:p>
        </w:tc>
        <w:tc>
          <w:tcPr>
            <w:tcW w:type="dxa" w:w="4320"/>
          </w:tcPr>
          <w:p>
            <w:r>
              <w:rPr>
                <w:rFonts w:ascii="Calibri" w:hAnsi="Calibri"/>
                <w:sz w:val="22"/>
              </w:rPr>
              <w:t>5:00 PM ET, July 28,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is a low bar on reported EBIT — consensus sits at ~$2.1B adjusted EBIT vs. $3.5B in Q1 — but the real swing factor is whether Ford Pro holds its margin trajectory and how management frames the H2 commodity and investment ramp.</w:t>
      </w:r>
    </w:p>
    <w:p>
      <w:r>
        <w:rPr>
          <w:rFonts w:ascii="Calibri" w:hAnsi="Calibri"/>
          <w:color w:val="525866"/>
          <w:sz w:val="22"/>
        </w:rPr>
        <w:t xml:space="preserve">Heading into Q2 2026, the consensus bar is intentionally depressed: the $1.3B one-time IEEPA tariff benefit that inflated Q1 does not repeat, and management guided Q2–Q4 EBIT to be "fairly consistent" at roughly $2.1–2.2B per quarter, implying the street is essentially in line with guidance. </w:t>
      </w:r>
      <w:r>
        <w:rPr>
          <w:rFonts w:ascii="Calibri" w:hAnsi="Calibri"/>
          <w:b/>
          <w:color w:val="525866"/>
          <w:sz w:val="22"/>
        </w:rPr>
        <w:t>Ford Pro</w:t>
      </w:r>
      <w:r>
        <w:rPr>
          <w:rFonts w:ascii="Calibri" w:hAnsi="Calibri"/>
          <w:color w:val="525866"/>
          <w:sz w:val="22"/>
        </w:rPr>
        <w:t xml:space="preserve"> is the key swing factor — consensus expects ~$1.9B EBIT vs. $1.7B in Q1, and any upside from accelerating paid software subscriptions (surpassing 900K in H1) or stronger commercial pricing would be the most likely source of a beat. Management's tone on the Q1 call was notably confident — CEO Farley described Ford as a "fundamentally stronger, more modern company" and raised full-year EBIT guidance by $1B to $8.5–$10.5B — but the Q2 print itself was always expected to be the weakest of the remaining three quarters given the tariff benefit roll-off and commodity headwinds building into H2. </w:t>
      </w:r>
      <w:r>
        <w:rPr>
          <w:rFonts w:ascii="Calibri" w:hAnsi="Calibri"/>
          <w:b/>
          <w:color w:val="525866"/>
          <w:sz w:val="22"/>
        </w:rPr>
        <w:t>Estimate revisions have drifted modestly lower since Q1 earnings</w:t>
      </w:r>
      <w:r>
        <w:rPr>
          <w:rFonts w:ascii="Calibri" w:hAnsi="Calibri"/>
          <w:color w:val="525866"/>
          <w:sz w:val="22"/>
        </w:rPr>
        <w:t xml:space="preserve"> (Q2 diluted operating EPS consensus slipped from ~$0.36 to ~$0.35), suggesting the street is not pricing in upside, which creates an asymmetric setup if Ford Pro or Ford Blue surprises. The stock has rallied ~20% since the Q1 print, driven almost entirely by the Ford Energy re-rating (Morgan Stanley pegged the energy arm at $10B), meaning the core auto business is arguably priced for modest expectations. The key wildcard is the </w:t>
      </w:r>
      <w:r>
        <w:rPr>
          <w:rFonts w:ascii="Calibri" w:hAnsi="Calibri"/>
          <w:b/>
          <w:color w:val="525866"/>
          <w:sz w:val="22"/>
        </w:rPr>
        <w:t>Novelis aluminum supply recovery</w:t>
      </w:r>
      <w:r>
        <w:rPr>
          <w:rFonts w:ascii="Calibri" w:hAnsi="Calibri"/>
          <w:color w:val="525866"/>
          <w:sz w:val="22"/>
        </w:rPr>
        <w:t>: the hot mill restarted in June and Ford expects full capacity in Q4, but any commentary on the pace of F-Series production recovery and whether the ~50K makeup volume target is on track could meaningfully move the stock.</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sets a low bar on adjusted EBIT (~$2.1B vs. $3.5B in Q1 due to non-recurring tariff benefit), but Ford Pro EBIT margin and Model e loss trajectory are the bigger swing factors for the full-year narrative.</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Q1 2026 Actual</w:t>
            </w:r>
          </w:p>
        </w:tc>
        <w:tc>
          <w:tcPr>
            <w:tcW w:type="dxa" w:w="1440"/>
            <w:shd w:val="clear" w:color="auto" w:fill="3B4259"/>
          </w:tcPr>
          <w:p>
            <w:r>
              <w:rPr>
                <w:rFonts w:ascii="Calibri" w:hAnsi="Calibri"/>
                <w:b/>
                <w:color w:val="FFFFFF"/>
                <w:sz w:val="22"/>
              </w:rPr>
              <w:t>Q2 2025 Actual (Prior Year)</w:t>
            </w:r>
          </w:p>
        </w:tc>
        <w:tc>
          <w:tcPr>
            <w:tcW w:type="dxa" w:w="1440"/>
            <w:shd w:val="clear" w:color="auto" w:fill="3B4259"/>
          </w:tcPr>
          <w:p>
            <w:r>
              <w:rPr>
                <w:rFonts w:ascii="Calibri" w:hAnsi="Calibri"/>
                <w:b/>
                <w:color w:val="FFFFFF"/>
                <w:sz w:val="22"/>
              </w:rPr>
              <w:t>Q2 2026 Consensus Estimate</w:t>
            </w:r>
          </w:p>
        </w:tc>
        <w:tc>
          <w:tcPr>
            <w:tcW w:type="dxa" w:w="1440"/>
            <w:shd w:val="clear" w:color="auto" w:fill="3B4259"/>
          </w:tcPr>
          <w:p>
            <w:r>
              <w:rPr>
                <w:rFonts w:ascii="Calibri" w:hAnsi="Calibri"/>
                <w:b/>
                <w:color w:val="FFFFFF"/>
                <w:sz w:val="22"/>
              </w:rPr>
              <w:t>YoY Change</w:t>
            </w:r>
          </w:p>
        </w:tc>
        <w:tc>
          <w:tcPr>
            <w:tcW w:type="dxa" w:w="1440"/>
            <w:shd w:val="clear" w:color="auto" w:fill="3B4259"/>
          </w:tcPr>
          <w:p>
            <w:r>
              <w:rPr>
                <w:rFonts w:ascii="Calibri" w:hAnsi="Calibri"/>
                <w:b/>
                <w:color w:val="FFFFFF"/>
                <w:sz w:val="22"/>
              </w:rPr>
              <w:t>FY 2026 Guidance (Last Call)</w:t>
            </w:r>
          </w:p>
        </w:tc>
      </w:tr>
      <w:tr>
        <w:tc>
          <w:tcPr>
            <w:tcW w:type="dxa" w:w="1440"/>
          </w:tcPr>
          <w:p>
            <w:r>
              <w:rPr>
                <w:rFonts w:ascii="Calibri" w:hAnsi="Calibri"/>
                <w:sz w:val="22"/>
              </w:rPr>
              <w:t>Total Revenue ($B)</w:t>
            </w:r>
          </w:p>
        </w:tc>
        <w:tc>
          <w:tcPr>
            <w:tcW w:type="dxa" w:w="1440"/>
          </w:tcPr>
          <w:p>
            <w:r>
              <w:rPr>
                <w:rFonts w:ascii="Calibri" w:hAnsi="Calibri"/>
                <w:sz w:val="22"/>
              </w:rPr>
              <w:t>$43.3B</w:t>
            </w:r>
          </w:p>
        </w:tc>
        <w:tc>
          <w:tcPr>
            <w:tcW w:type="dxa" w:w="1440"/>
          </w:tcPr>
          <w:p>
            <w:r>
              <w:rPr>
                <w:rFonts w:ascii="Calibri" w:hAnsi="Calibri"/>
                <w:sz w:val="22"/>
              </w:rPr>
              <w:t>$50.2B</w:t>
            </w:r>
          </w:p>
        </w:tc>
        <w:tc>
          <w:tcPr>
            <w:tcW w:type="dxa" w:w="1440"/>
          </w:tcPr>
          <w:p>
            <w:r>
              <w:rPr>
                <w:rFonts w:ascii="Calibri" w:hAnsi="Calibri"/>
                <w:sz w:val="22"/>
              </w:rPr>
              <w:t>$49.6B</w:t>
            </w:r>
          </w:p>
        </w:tc>
        <w:tc>
          <w:tcPr>
            <w:tcW w:type="dxa" w:w="1440"/>
          </w:tcPr>
          <w:p>
            <w:r>
              <w:rPr>
                <w:rFonts w:ascii="Calibri" w:hAnsi="Calibri"/>
                <w:sz w:val="22"/>
              </w:rPr>
              <w:t>-1.2% YoY</w:t>
            </w:r>
          </w:p>
        </w:tc>
        <w:tc>
          <w:tcPr>
            <w:tcW w:type="dxa" w:w="1440"/>
          </w:tcPr>
          <w:p>
            <w:r>
              <w:rPr>
                <w:rFonts w:ascii="Calibri" w:hAnsi="Calibri"/>
                <w:sz w:val="22"/>
              </w:rPr>
              <w:t>$193.1B (FY cons.)</w:t>
            </w:r>
          </w:p>
        </w:tc>
      </w:tr>
      <w:tr>
        <w:tc>
          <w:tcPr>
            <w:tcW w:type="dxa" w:w="1440"/>
          </w:tcPr>
          <w:p>
            <w:r>
              <w:rPr>
                <w:rFonts w:ascii="Calibri" w:hAnsi="Calibri"/>
                <w:sz w:val="22"/>
              </w:rPr>
              <w:t>Adjusted EBIT ($B)</w:t>
            </w:r>
          </w:p>
        </w:tc>
        <w:tc>
          <w:tcPr>
            <w:tcW w:type="dxa" w:w="1440"/>
          </w:tcPr>
          <w:p>
            <w:r>
              <w:rPr>
                <w:rFonts w:ascii="Calibri" w:hAnsi="Calibri"/>
                <w:sz w:val="22"/>
              </w:rPr>
              <w:t>$3.5B ($2.2B ex-IEEPA)</w:t>
            </w:r>
          </w:p>
        </w:tc>
        <w:tc>
          <w:tcPr>
            <w:tcW w:type="dxa" w:w="1440"/>
          </w:tcPr>
          <w:p>
            <w:r>
              <w:rPr>
                <w:rFonts w:ascii="Calibri" w:hAnsi="Calibri"/>
                <w:sz w:val="22"/>
              </w:rPr>
              <w:t>$2.1B</w:t>
            </w:r>
          </w:p>
        </w:tc>
        <w:tc>
          <w:tcPr>
            <w:tcW w:type="dxa" w:w="1440"/>
          </w:tcPr>
          <w:p>
            <w:r>
              <w:rPr>
                <w:rFonts w:ascii="Calibri" w:hAnsi="Calibri"/>
                <w:sz w:val="22"/>
              </w:rPr>
              <w:t>$2.1B</w:t>
            </w:r>
          </w:p>
        </w:tc>
        <w:tc>
          <w:tcPr>
            <w:tcW w:type="dxa" w:w="1440"/>
          </w:tcPr>
          <w:p>
            <w:r>
              <w:rPr>
                <w:rFonts w:ascii="Calibri" w:hAnsi="Calibri"/>
                <w:sz w:val="22"/>
              </w:rPr>
              <w:t>~flat YoY</w:t>
            </w:r>
          </w:p>
        </w:tc>
        <w:tc>
          <w:tcPr>
            <w:tcW w:type="dxa" w:w="1440"/>
          </w:tcPr>
          <w:p>
            <w:r>
              <w:rPr>
                <w:rFonts w:ascii="Calibri" w:hAnsi="Calibri"/>
                <w:sz w:val="22"/>
              </w:rPr>
              <w:t>$8.5B–$10.5B</w:t>
            </w:r>
          </w:p>
        </w:tc>
      </w:tr>
      <w:tr>
        <w:tc>
          <w:tcPr>
            <w:tcW w:type="dxa" w:w="1440"/>
          </w:tcPr>
          <w:p>
            <w:r>
              <w:rPr>
                <w:rFonts w:ascii="Calibri" w:hAnsi="Calibri"/>
                <w:sz w:val="22"/>
              </w:rPr>
              <w:t>Diluted Operating EPS ($)</w:t>
            </w:r>
          </w:p>
        </w:tc>
        <w:tc>
          <w:tcPr>
            <w:tcW w:type="dxa" w:w="1440"/>
          </w:tcPr>
          <w:p>
            <w:r>
              <w:rPr>
                <w:rFonts w:ascii="Calibri" w:hAnsi="Calibri"/>
                <w:sz w:val="22"/>
              </w:rPr>
              <w:t>$0.66</w:t>
            </w:r>
          </w:p>
        </w:tc>
        <w:tc>
          <w:tcPr>
            <w:tcW w:type="dxa" w:w="1440"/>
          </w:tcPr>
          <w:p>
            <w:r>
              <w:rPr>
                <w:rFonts w:ascii="Calibri" w:hAnsi="Calibri"/>
                <w:sz w:val="22"/>
              </w:rPr>
              <w:t>$0.37</w:t>
            </w:r>
          </w:p>
        </w:tc>
        <w:tc>
          <w:tcPr>
            <w:tcW w:type="dxa" w:w="1440"/>
          </w:tcPr>
          <w:p>
            <w:r>
              <w:rPr>
                <w:rFonts w:ascii="Calibri" w:hAnsi="Calibri"/>
                <w:sz w:val="22"/>
              </w:rPr>
              <w:t>$0.35</w:t>
            </w:r>
          </w:p>
        </w:tc>
        <w:tc>
          <w:tcPr>
            <w:tcW w:type="dxa" w:w="1440"/>
          </w:tcPr>
          <w:p>
            <w:r>
              <w:rPr>
                <w:rFonts w:ascii="Calibri" w:hAnsi="Calibri"/>
                <w:sz w:val="22"/>
              </w:rPr>
              <w:t>-5.4% YoY</w:t>
            </w:r>
          </w:p>
        </w:tc>
        <w:tc>
          <w:tcPr>
            <w:tcW w:type="dxa" w:w="1440"/>
          </w:tcPr>
          <w:p>
            <w:r>
              <w:rPr>
                <w:rFonts w:ascii="Calibri" w:hAnsi="Calibri"/>
                <w:sz w:val="22"/>
              </w:rPr>
              <w:t>$1.65 (FY cons.)</w:t>
            </w:r>
          </w:p>
        </w:tc>
      </w:tr>
      <w:tr>
        <w:tc>
          <w:tcPr>
            <w:tcW w:type="dxa" w:w="1440"/>
          </w:tcPr>
          <w:p>
            <w:r>
              <w:rPr>
                <w:rFonts w:ascii="Calibri" w:hAnsi="Calibri"/>
                <w:sz w:val="22"/>
              </w:rPr>
              <w:t>Ford Pro EBIT ($B)</w:t>
            </w:r>
          </w:p>
        </w:tc>
        <w:tc>
          <w:tcPr>
            <w:tcW w:type="dxa" w:w="1440"/>
          </w:tcPr>
          <w:p>
            <w:r>
              <w:rPr>
                <w:rFonts w:ascii="Calibri" w:hAnsi="Calibri"/>
                <w:sz w:val="22"/>
              </w:rPr>
              <w:t>$1.7B</w:t>
            </w:r>
          </w:p>
        </w:tc>
        <w:tc>
          <w:tcPr>
            <w:tcW w:type="dxa" w:w="1440"/>
          </w:tcPr>
          <w:p>
            <w:r>
              <w:rPr>
                <w:rFonts w:ascii="Calibri" w:hAnsi="Calibri"/>
                <w:sz w:val="22"/>
              </w:rPr>
              <w:t>$2.3B</w:t>
            </w:r>
          </w:p>
        </w:tc>
        <w:tc>
          <w:tcPr>
            <w:tcW w:type="dxa" w:w="1440"/>
          </w:tcPr>
          <w:p>
            <w:r>
              <w:rPr>
                <w:rFonts w:ascii="Calibri" w:hAnsi="Calibri"/>
                <w:sz w:val="22"/>
              </w:rPr>
              <w:t>$1.9B</w:t>
            </w:r>
          </w:p>
        </w:tc>
        <w:tc>
          <w:tcPr>
            <w:tcW w:type="dxa" w:w="1440"/>
          </w:tcPr>
          <w:p>
            <w:r>
              <w:rPr>
                <w:rFonts w:ascii="Calibri" w:hAnsi="Calibri"/>
                <w:sz w:val="22"/>
              </w:rPr>
              <w:t>-18.0% YoY</w:t>
            </w:r>
          </w:p>
        </w:tc>
        <w:tc>
          <w:tcPr>
            <w:tcW w:type="dxa" w:w="1440"/>
          </w:tcPr>
          <w:p>
            <w:r>
              <w:rPr>
                <w:rFonts w:ascii="Calibri" w:hAnsi="Calibri"/>
                <w:sz w:val="22"/>
              </w:rPr>
              <w:t>$6.5B–$7.5B</w:t>
            </w:r>
          </w:p>
        </w:tc>
      </w:tr>
      <w:tr>
        <w:tc>
          <w:tcPr>
            <w:tcW w:type="dxa" w:w="1440"/>
          </w:tcPr>
          <w:p>
            <w:r>
              <w:rPr>
                <w:rFonts w:ascii="Calibri" w:hAnsi="Calibri"/>
                <w:sz w:val="22"/>
              </w:rPr>
              <w:t>Ford Blue EBIT ($B)</w:t>
            </w:r>
          </w:p>
        </w:tc>
        <w:tc>
          <w:tcPr>
            <w:tcW w:type="dxa" w:w="1440"/>
          </w:tcPr>
          <w:p>
            <w:r>
              <w:rPr>
                <w:rFonts w:ascii="Calibri" w:hAnsi="Calibri"/>
                <w:sz w:val="22"/>
              </w:rPr>
              <w:t>$1.9B</w:t>
            </w:r>
          </w:p>
        </w:tc>
        <w:tc>
          <w:tcPr>
            <w:tcW w:type="dxa" w:w="1440"/>
          </w:tcPr>
          <w:p>
            <w:r>
              <w:rPr>
                <w:rFonts w:ascii="Calibri" w:hAnsi="Calibri"/>
                <w:sz w:val="22"/>
              </w:rPr>
              <w:t>$0.7B</w:t>
            </w:r>
          </w:p>
        </w:tc>
        <w:tc>
          <w:tcPr>
            <w:tcW w:type="dxa" w:w="1440"/>
          </w:tcPr>
          <w:p>
            <w:r>
              <w:rPr>
                <w:rFonts w:ascii="Calibri" w:hAnsi="Calibri"/>
                <w:sz w:val="22"/>
              </w:rPr>
              <w:t>$0.9B</w:t>
            </w:r>
          </w:p>
        </w:tc>
        <w:tc>
          <w:tcPr>
            <w:tcW w:type="dxa" w:w="1440"/>
          </w:tcPr>
          <w:p>
            <w:r>
              <w:rPr>
                <w:rFonts w:ascii="Calibri" w:hAnsi="Calibri"/>
                <w:sz w:val="22"/>
              </w:rPr>
              <w:t>+29% YoY</w:t>
            </w:r>
          </w:p>
        </w:tc>
        <w:tc>
          <w:tcPr>
            <w:tcW w:type="dxa" w:w="1440"/>
          </w:tcPr>
          <w:p>
            <w:r>
              <w:rPr>
                <w:rFonts w:ascii="Calibri" w:hAnsi="Calibri"/>
                <w:sz w:val="22"/>
              </w:rPr>
              <w:t>$4.5B–$5.0B</w:t>
            </w:r>
          </w:p>
        </w:tc>
      </w:tr>
      <w:tr>
        <w:tc>
          <w:tcPr>
            <w:tcW w:type="dxa" w:w="1440"/>
          </w:tcPr>
          <w:p>
            <w:r>
              <w:rPr>
                <w:rFonts w:ascii="Calibri" w:hAnsi="Calibri"/>
                <w:sz w:val="22"/>
              </w:rPr>
              <w:t>Ford Model e EBIT Loss ($B)</w:t>
            </w:r>
          </w:p>
        </w:tc>
        <w:tc>
          <w:tcPr>
            <w:tcW w:type="dxa" w:w="1440"/>
          </w:tcPr>
          <w:p>
            <w:r>
              <w:rPr>
                <w:rFonts w:ascii="Calibri" w:hAnsi="Calibri"/>
                <w:sz w:val="22"/>
              </w:rPr>
              <w:t>-$0.8B</w:t>
            </w:r>
          </w:p>
        </w:tc>
        <w:tc>
          <w:tcPr>
            <w:tcW w:type="dxa" w:w="1440"/>
          </w:tcPr>
          <w:p>
            <w:r>
              <w:rPr>
                <w:rFonts w:ascii="Calibri" w:hAnsi="Calibri"/>
                <w:sz w:val="22"/>
              </w:rPr>
              <w:t>-$1.3B</w:t>
            </w:r>
          </w:p>
        </w:tc>
        <w:tc>
          <w:tcPr>
            <w:tcW w:type="dxa" w:w="1440"/>
          </w:tcPr>
          <w:p>
            <w:r>
              <w:rPr>
                <w:rFonts w:ascii="Calibri" w:hAnsi="Calibri"/>
                <w:sz w:val="22"/>
              </w:rPr>
              <w:t>-$1.1B</w:t>
            </w:r>
          </w:p>
        </w:tc>
        <w:tc>
          <w:tcPr>
            <w:tcW w:type="dxa" w:w="1440"/>
          </w:tcPr>
          <w:p>
            <w:r>
              <w:rPr>
                <w:rFonts w:ascii="Calibri" w:hAnsi="Calibri"/>
                <w:sz w:val="22"/>
              </w:rPr>
              <w:t>Loss narrows YoY</w:t>
            </w:r>
          </w:p>
        </w:tc>
        <w:tc>
          <w:tcPr>
            <w:tcW w:type="dxa" w:w="1440"/>
          </w:tcPr>
          <w:p>
            <w:r>
              <w:rPr>
                <w:rFonts w:ascii="Calibri" w:hAnsi="Calibri"/>
                <w:sz w:val="22"/>
              </w:rPr>
              <w:t>-$4.0B to -$4.5B</w:t>
            </w:r>
          </w:p>
        </w:tc>
      </w:tr>
      <w:tr>
        <w:tc>
          <w:tcPr>
            <w:tcW w:type="dxa" w:w="1440"/>
          </w:tcPr>
          <w:p>
            <w:r>
              <w:rPr>
                <w:rFonts w:ascii="Calibri" w:hAnsi="Calibri"/>
                <w:sz w:val="22"/>
              </w:rPr>
              <w:t>Adj. Free Cash Flow ($B)</w:t>
            </w:r>
          </w:p>
        </w:tc>
        <w:tc>
          <w:tcPr>
            <w:tcW w:type="dxa" w:w="1440"/>
          </w:tcPr>
          <w:p>
            <w:r>
              <w:rPr>
                <w:rFonts w:ascii="Calibri" w:hAnsi="Calibri"/>
                <w:sz w:val="22"/>
              </w:rPr>
              <w:t>-$1.9B</w:t>
            </w:r>
          </w:p>
        </w:tc>
        <w:tc>
          <w:tcPr>
            <w:tcW w:type="dxa" w:w="1440"/>
          </w:tcPr>
          <w:p>
            <w:r>
              <w:rPr>
                <w:rFonts w:ascii="Calibri" w:hAnsi="Calibri"/>
                <w:sz w:val="22"/>
              </w:rPr>
              <w:t>$2.8B</w:t>
            </w:r>
          </w:p>
        </w:tc>
        <w:tc>
          <w:tcPr>
            <w:tcW w:type="dxa" w:w="1440"/>
          </w:tcPr>
          <w:p>
            <w:r>
              <w:rPr>
                <w:rFonts w:ascii="Calibri" w:hAnsi="Calibri"/>
                <w:sz w:val="22"/>
              </w:rPr>
              <w:t>~$0.0B (breakeven)</w:t>
            </w:r>
          </w:p>
        </w:tc>
        <w:tc>
          <w:tcPr>
            <w:tcW w:type="dxa" w:w="1440"/>
          </w:tcPr>
          <w:p>
            <w:r>
              <w:rPr>
                <w:rFonts w:ascii="Calibri" w:hAnsi="Calibri"/>
                <w:sz w:val="22"/>
              </w:rPr>
              <w:t>N/A (seasonal)</w:t>
            </w:r>
          </w:p>
        </w:tc>
        <w:tc>
          <w:tcPr>
            <w:tcW w:type="dxa" w:w="1440"/>
          </w:tcPr>
          <w:p>
            <w:r>
              <w:rPr>
                <w:rFonts w:ascii="Calibri" w:hAnsi="Calibri"/>
                <w:sz w:val="22"/>
              </w:rPr>
              <w:t>$5.0B–$6.0B</w:t>
            </w:r>
          </w:p>
        </w:tc>
      </w:tr>
      <w:tr>
        <w:tc>
          <w:tcPr>
            <w:tcW w:type="dxa" w:w="1440"/>
          </w:tcPr>
          <w:p>
            <w:r>
              <w:rPr>
                <w:rFonts w:ascii="Calibri" w:hAnsi="Calibri"/>
                <w:sz w:val="22"/>
              </w:rPr>
              <w:t>CapEx – ex-Ford Credit ($B)</w:t>
            </w:r>
          </w:p>
        </w:tc>
        <w:tc>
          <w:tcPr>
            <w:tcW w:type="dxa" w:w="1440"/>
          </w:tcPr>
          <w:p>
            <w:r>
              <w:rPr>
                <w:rFonts w:ascii="Calibri" w:hAnsi="Calibri"/>
                <w:sz w:val="22"/>
              </w:rPr>
              <w:t>$2.4B</w:t>
            </w:r>
          </w:p>
        </w:tc>
        <w:tc>
          <w:tcPr>
            <w:tcW w:type="dxa" w:w="1440"/>
          </w:tcPr>
          <w:p>
            <w:r>
              <w:rPr>
                <w:rFonts w:ascii="Calibri" w:hAnsi="Calibri"/>
                <w:sz w:val="22"/>
              </w:rPr>
              <w:t>$2.1B</w:t>
            </w:r>
          </w:p>
        </w:tc>
        <w:tc>
          <w:tcPr>
            <w:tcW w:type="dxa" w:w="1440"/>
          </w:tcPr>
          <w:p>
            <w:r>
              <w:rPr>
                <w:rFonts w:ascii="Calibri" w:hAnsi="Calibri"/>
                <w:sz w:val="22"/>
              </w:rPr>
              <w:t>$2.5B</w:t>
            </w:r>
          </w:p>
        </w:tc>
        <w:tc>
          <w:tcPr>
            <w:tcW w:type="dxa" w:w="1440"/>
          </w:tcPr>
          <w:p>
            <w:r>
              <w:rPr>
                <w:rFonts w:ascii="Calibri" w:hAnsi="Calibri"/>
                <w:sz w:val="22"/>
              </w:rPr>
              <w:t>+19% YoY</w:t>
            </w:r>
          </w:p>
        </w:tc>
        <w:tc>
          <w:tcPr>
            <w:tcW w:type="dxa" w:w="1440"/>
          </w:tcPr>
          <w:p>
            <w:r>
              <w:rPr>
                <w:rFonts w:ascii="Calibri" w:hAnsi="Calibri"/>
                <w:sz w:val="22"/>
              </w:rPr>
              <w:t>$9.5B–$10.5B</w:t>
            </w:r>
          </w:p>
        </w:tc>
      </w:tr>
    </w:tbl>
    <w:p>
      <w:r>
        <w:rPr>
          <w:rFonts w:ascii="Calibri" w:hAnsi="Calibri"/>
          <w:i/>
          <w:color w:val="525866"/>
          <w:sz w:val="22"/>
        </w:rPr>
        <w:t>Source: Visible Alpha Consensus and Actuals Data. Q2 2026 consensus as of July 28, 2026. FY 2026 guidance from Q1 2026 earnings call (April 29, 2026). Q2 2025 actuals and Q1 2026 actuals from Visible Alpha.</w:t>
      </w:r>
    </w:p>
    <w:p>
      <w:pPr>
        <w:pStyle w:val="Heading3"/>
      </w:pPr>
      <w:r>
        <w:rPr>
          <w:rFonts w:ascii="Calibri" w:hAnsi="Calibri"/>
          <w:b/>
          <w:color w:val="3B4259"/>
          <w:sz w:val="24"/>
        </w:rPr>
        <w:t>Table 2 — Beat/Miss History (Last 8 Quarters — Top 2 KPIs: Adjusted EBIT &amp; Diluted Operating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Adj. EBIT ($B)</w:t>
            </w:r>
          </w:p>
        </w:tc>
        <w:tc>
          <w:tcPr>
            <w:tcW w:type="dxa" w:w="1440"/>
          </w:tcPr>
          <w:p>
            <w:r>
              <w:rPr>
                <w:rFonts w:ascii="Calibri" w:hAnsi="Calibri"/>
                <w:sz w:val="22"/>
              </w:rPr>
              <w:t>$3.49B</w:t>
            </w:r>
          </w:p>
        </w:tc>
        <w:tc>
          <w:tcPr>
            <w:tcW w:type="dxa" w:w="1440"/>
          </w:tcPr>
          <w:p>
            <w:r>
              <w:rPr>
                <w:rFonts w:ascii="Calibri" w:hAnsi="Calibri"/>
                <w:sz w:val="22"/>
              </w:rPr>
              <w:t>$1.31B</w:t>
            </w:r>
          </w:p>
        </w:tc>
        <w:tc>
          <w:tcPr>
            <w:tcW w:type="dxa" w:w="1440"/>
          </w:tcPr>
          <w:p>
            <w:r>
              <w:rPr>
                <w:rFonts w:ascii="Calibri" w:hAnsi="Calibri"/>
                <w:b/>
                <w:color w:val="30A46C"/>
                <w:sz w:val="22"/>
              </w:rPr>
              <w:t>+166%</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Diluted Op. EPS ($)</w:t>
            </w:r>
          </w:p>
        </w:tc>
        <w:tc>
          <w:tcPr>
            <w:tcW w:type="dxa" w:w="1440"/>
          </w:tcPr>
          <w:p>
            <w:r>
              <w:rPr>
                <w:rFonts w:ascii="Calibri" w:hAnsi="Calibri"/>
                <w:sz w:val="22"/>
              </w:rPr>
              <w:t>$0.66</w:t>
            </w:r>
          </w:p>
        </w:tc>
        <w:tc>
          <w:tcPr>
            <w:tcW w:type="dxa" w:w="1440"/>
          </w:tcPr>
          <w:p>
            <w:r>
              <w:rPr>
                <w:rFonts w:ascii="Calibri" w:hAnsi="Calibri"/>
                <w:sz w:val="22"/>
              </w:rPr>
              <w:t>$0.20</w:t>
            </w:r>
          </w:p>
        </w:tc>
        <w:tc>
          <w:tcPr>
            <w:tcW w:type="dxa" w:w="1440"/>
          </w:tcPr>
          <w:p>
            <w:r>
              <w:rPr>
                <w:rFonts w:ascii="Calibri" w:hAnsi="Calibri"/>
                <w:b/>
                <w:color w:val="30A46C"/>
                <w:sz w:val="22"/>
              </w:rPr>
              <w:t>+230%</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Adj. EBIT ($B)</w:t>
            </w:r>
          </w:p>
        </w:tc>
        <w:tc>
          <w:tcPr>
            <w:tcW w:type="dxa" w:w="1440"/>
          </w:tcPr>
          <w:p>
            <w:r>
              <w:rPr>
                <w:rFonts w:ascii="Calibri" w:hAnsi="Calibri"/>
                <w:sz w:val="22"/>
              </w:rPr>
              <w:t>$1.04B</w:t>
            </w:r>
          </w:p>
        </w:tc>
        <w:tc>
          <w:tcPr>
            <w:tcW w:type="dxa" w:w="1440"/>
          </w:tcPr>
          <w:p>
            <w:r>
              <w:rPr>
                <w:rFonts w:ascii="Calibri" w:hAnsi="Calibri"/>
                <w:sz w:val="22"/>
              </w:rPr>
              <w:t>$1.15B</w:t>
            </w:r>
          </w:p>
        </w:tc>
        <w:tc>
          <w:tcPr>
            <w:tcW w:type="dxa" w:w="1440"/>
          </w:tcPr>
          <w:p>
            <w:r>
              <w:rPr>
                <w:rFonts w:ascii="Calibri" w:hAnsi="Calibri"/>
                <w:b/>
                <w:color w:val="E5484D"/>
                <w:sz w:val="22"/>
              </w:rPr>
              <w:t>-10%</w:t>
            </w:r>
          </w:p>
        </w:tc>
        <w:tc>
          <w:tcPr>
            <w:tcW w:type="dxa" w:w="1440"/>
          </w:tcPr>
          <w:p>
            <w:r>
              <w:rPr>
                <w:rFonts w:ascii="Calibri" w:hAnsi="Calibri"/>
                <w:b/>
                <w:color w:val="E5484D"/>
                <w:sz w:val="22"/>
              </w:rPr>
              <w:t>MISS</w:t>
            </w:r>
          </w:p>
        </w:tc>
      </w:tr>
      <w:tr>
        <w:tc>
          <w:tcPr>
            <w:tcW w:type="dxa" w:w="1440"/>
          </w:tcPr>
          <w:p>
            <w:r>
              <w:rPr>
                <w:rFonts w:ascii="Calibri" w:hAnsi="Calibri"/>
                <w:sz w:val="22"/>
              </w:rPr>
              <w:t>Q4 2025</w:t>
            </w:r>
          </w:p>
        </w:tc>
        <w:tc>
          <w:tcPr>
            <w:tcW w:type="dxa" w:w="1440"/>
          </w:tcPr>
          <w:p>
            <w:r>
              <w:rPr>
                <w:rFonts w:ascii="Calibri" w:hAnsi="Calibri"/>
                <w:sz w:val="22"/>
              </w:rPr>
              <w:t>Diluted Op. EPS ($)</w:t>
            </w:r>
          </w:p>
        </w:tc>
        <w:tc>
          <w:tcPr>
            <w:tcW w:type="dxa" w:w="1440"/>
          </w:tcPr>
          <w:p>
            <w:r>
              <w:rPr>
                <w:rFonts w:ascii="Calibri" w:hAnsi="Calibri"/>
                <w:sz w:val="22"/>
              </w:rPr>
              <w:t>$0.13</w:t>
            </w:r>
          </w:p>
        </w:tc>
        <w:tc>
          <w:tcPr>
            <w:tcW w:type="dxa" w:w="1440"/>
          </w:tcPr>
          <w:p>
            <w:r>
              <w:rPr>
                <w:rFonts w:ascii="Calibri" w:hAnsi="Calibri"/>
                <w:sz w:val="22"/>
              </w:rPr>
              <w:t>$0.18</w:t>
            </w:r>
          </w:p>
        </w:tc>
        <w:tc>
          <w:tcPr>
            <w:tcW w:type="dxa" w:w="1440"/>
          </w:tcPr>
          <w:p>
            <w:r>
              <w:rPr>
                <w:rFonts w:ascii="Calibri" w:hAnsi="Calibri"/>
                <w:b/>
                <w:color w:val="E5484D"/>
                <w:sz w:val="22"/>
              </w:rPr>
              <w:t>-28%</w:t>
            </w:r>
          </w:p>
        </w:tc>
        <w:tc>
          <w:tcPr>
            <w:tcW w:type="dxa" w:w="1440"/>
          </w:tcPr>
          <w:p>
            <w:r>
              <w:rPr>
                <w:rFonts w:ascii="Calibri" w:hAnsi="Calibri"/>
                <w:b/>
                <w:color w:val="E5484D"/>
                <w:sz w:val="22"/>
              </w:rPr>
              <w:t>MISS</w:t>
            </w:r>
          </w:p>
        </w:tc>
      </w:tr>
      <w:tr>
        <w:tc>
          <w:tcPr>
            <w:tcW w:type="dxa" w:w="1440"/>
          </w:tcPr>
          <w:p>
            <w:r>
              <w:rPr>
                <w:rFonts w:ascii="Calibri" w:hAnsi="Calibri"/>
                <w:sz w:val="22"/>
              </w:rPr>
              <w:t>Q3 2025</w:t>
            </w:r>
          </w:p>
        </w:tc>
        <w:tc>
          <w:tcPr>
            <w:tcW w:type="dxa" w:w="1440"/>
          </w:tcPr>
          <w:p>
            <w:r>
              <w:rPr>
                <w:rFonts w:ascii="Calibri" w:hAnsi="Calibri"/>
                <w:sz w:val="22"/>
              </w:rPr>
              <w:t>Adj. EBIT ($B)</w:t>
            </w:r>
          </w:p>
        </w:tc>
        <w:tc>
          <w:tcPr>
            <w:tcW w:type="dxa" w:w="1440"/>
          </w:tcPr>
          <w:p>
            <w:r>
              <w:rPr>
                <w:rFonts w:ascii="Calibri" w:hAnsi="Calibri"/>
                <w:sz w:val="22"/>
              </w:rPr>
              <w:t>$2.59B</w:t>
            </w:r>
          </w:p>
        </w:tc>
        <w:tc>
          <w:tcPr>
            <w:tcW w:type="dxa" w:w="1440"/>
          </w:tcPr>
          <w:p>
            <w:r>
              <w:rPr>
                <w:rFonts w:ascii="Calibri" w:hAnsi="Calibri"/>
                <w:sz w:val="22"/>
              </w:rPr>
              <w:t>$2.00B</w:t>
            </w:r>
          </w:p>
        </w:tc>
        <w:tc>
          <w:tcPr>
            <w:tcW w:type="dxa" w:w="1440"/>
          </w:tcPr>
          <w:p>
            <w:r>
              <w:rPr>
                <w:rFonts w:ascii="Calibri" w:hAnsi="Calibri"/>
                <w:b/>
                <w:color w:val="30A46C"/>
                <w:sz w:val="22"/>
              </w:rPr>
              <w:t>+29%</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Diluted Op. EPS ($)</w:t>
            </w:r>
          </w:p>
        </w:tc>
        <w:tc>
          <w:tcPr>
            <w:tcW w:type="dxa" w:w="1440"/>
          </w:tcPr>
          <w:p>
            <w:r>
              <w:rPr>
                <w:rFonts w:ascii="Calibri" w:hAnsi="Calibri"/>
                <w:sz w:val="22"/>
              </w:rPr>
              <w:t>$0.45</w:t>
            </w:r>
          </w:p>
        </w:tc>
        <w:tc>
          <w:tcPr>
            <w:tcW w:type="dxa" w:w="1440"/>
          </w:tcPr>
          <w:p>
            <w:r>
              <w:rPr>
                <w:rFonts w:ascii="Calibri" w:hAnsi="Calibri"/>
                <w:sz w:val="22"/>
              </w:rPr>
              <w:t>$0.36</w:t>
            </w:r>
          </w:p>
        </w:tc>
        <w:tc>
          <w:tcPr>
            <w:tcW w:type="dxa" w:w="1440"/>
          </w:tcPr>
          <w:p>
            <w:r>
              <w:rPr>
                <w:rFonts w:ascii="Calibri" w:hAnsi="Calibri"/>
                <w:b/>
                <w:color w:val="30A46C"/>
                <w:sz w:val="22"/>
              </w:rPr>
              <w:t>+25%</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Adj. EBIT ($B)</w:t>
            </w:r>
          </w:p>
        </w:tc>
        <w:tc>
          <w:tcPr>
            <w:tcW w:type="dxa" w:w="1440"/>
          </w:tcPr>
          <w:p>
            <w:r>
              <w:rPr>
                <w:rFonts w:ascii="Calibri" w:hAnsi="Calibri"/>
                <w:sz w:val="22"/>
              </w:rPr>
              <w:t>$2.14B</w:t>
            </w:r>
          </w:p>
        </w:tc>
        <w:tc>
          <w:tcPr>
            <w:tcW w:type="dxa" w:w="1440"/>
          </w:tcPr>
          <w:p>
            <w:r>
              <w:rPr>
                <w:rFonts w:ascii="Calibri" w:hAnsi="Calibri"/>
                <w:sz w:val="22"/>
              </w:rPr>
              <w:t>$1.88B</w:t>
            </w:r>
          </w:p>
        </w:tc>
        <w:tc>
          <w:tcPr>
            <w:tcW w:type="dxa" w:w="1440"/>
          </w:tcPr>
          <w:p>
            <w:r>
              <w:rPr>
                <w:rFonts w:ascii="Calibri" w:hAnsi="Calibri"/>
                <w:b/>
                <w:color w:val="30A46C"/>
                <w:sz w:val="22"/>
              </w:rPr>
              <w:t>+14%</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Diluted Op. EPS ($)</w:t>
            </w:r>
          </w:p>
        </w:tc>
        <w:tc>
          <w:tcPr>
            <w:tcW w:type="dxa" w:w="1440"/>
          </w:tcPr>
          <w:p>
            <w:r>
              <w:rPr>
                <w:rFonts w:ascii="Calibri" w:hAnsi="Calibri"/>
                <w:sz w:val="22"/>
              </w:rPr>
              <w:t>$0.37</w:t>
            </w:r>
          </w:p>
        </w:tc>
        <w:tc>
          <w:tcPr>
            <w:tcW w:type="dxa" w:w="1440"/>
          </w:tcPr>
          <w:p>
            <w:r>
              <w:rPr>
                <w:rFonts w:ascii="Calibri" w:hAnsi="Calibri"/>
                <w:sz w:val="22"/>
              </w:rPr>
              <w:t>$0.31</w:t>
            </w:r>
          </w:p>
        </w:tc>
        <w:tc>
          <w:tcPr>
            <w:tcW w:type="dxa" w:w="1440"/>
          </w:tcPr>
          <w:p>
            <w:r>
              <w:rPr>
                <w:rFonts w:ascii="Calibri" w:hAnsi="Calibri"/>
                <w:b/>
                <w:color w:val="30A46C"/>
                <w:sz w:val="22"/>
              </w:rPr>
              <w:t>+19%</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Adj. EBIT ($B)</w:t>
            </w:r>
          </w:p>
        </w:tc>
        <w:tc>
          <w:tcPr>
            <w:tcW w:type="dxa" w:w="1440"/>
          </w:tcPr>
          <w:p>
            <w:r>
              <w:rPr>
                <w:rFonts w:ascii="Calibri" w:hAnsi="Calibri"/>
                <w:sz w:val="22"/>
              </w:rPr>
              <w:t>$1.02B</w:t>
            </w:r>
          </w:p>
        </w:tc>
        <w:tc>
          <w:tcPr>
            <w:tcW w:type="dxa" w:w="1440"/>
          </w:tcPr>
          <w:p>
            <w:r>
              <w:rPr>
                <w:rFonts w:ascii="Calibri" w:hAnsi="Calibri"/>
                <w:sz w:val="22"/>
              </w:rPr>
              <w:t>$0.22B</w:t>
            </w:r>
          </w:p>
        </w:tc>
        <w:tc>
          <w:tcPr>
            <w:tcW w:type="dxa" w:w="1440"/>
          </w:tcPr>
          <w:p>
            <w:r>
              <w:rPr>
                <w:rFonts w:ascii="Calibri" w:hAnsi="Calibri"/>
                <w:b/>
                <w:color w:val="30A46C"/>
                <w:sz w:val="22"/>
              </w:rPr>
              <w:t>+364%</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Diluted Op. EPS ($)</w:t>
            </w:r>
          </w:p>
        </w:tc>
        <w:tc>
          <w:tcPr>
            <w:tcW w:type="dxa" w:w="1440"/>
          </w:tcPr>
          <w:p>
            <w:r>
              <w:rPr>
                <w:rFonts w:ascii="Calibri" w:hAnsi="Calibri"/>
                <w:sz w:val="22"/>
              </w:rPr>
              <w:t>$0.14</w:t>
            </w:r>
          </w:p>
        </w:tc>
        <w:tc>
          <w:tcPr>
            <w:tcW w:type="dxa" w:w="1440"/>
          </w:tcPr>
          <w:p>
            <w:r>
              <w:rPr>
                <w:rFonts w:ascii="Calibri" w:hAnsi="Calibri"/>
                <w:sz w:val="22"/>
              </w:rPr>
              <w:t>-$0.01</w:t>
            </w:r>
          </w:p>
        </w:tc>
        <w:tc>
          <w:tcPr>
            <w:tcW w:type="dxa" w:w="1440"/>
          </w:tcPr>
          <w:p>
            <w:r>
              <w:rPr>
                <w:rFonts w:ascii="Calibri" w:hAnsi="Calibri"/>
                <w:b/>
                <w:color w:val="30A46C"/>
                <w:sz w:val="22"/>
              </w:rPr>
              <w:t>N/M</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Adj. EBIT ($B)</w:t>
            </w:r>
          </w:p>
        </w:tc>
        <w:tc>
          <w:tcPr>
            <w:tcW w:type="dxa" w:w="1440"/>
          </w:tcPr>
          <w:p>
            <w:r>
              <w:rPr>
                <w:rFonts w:ascii="Calibri" w:hAnsi="Calibri"/>
                <w:sz w:val="22"/>
              </w:rPr>
              <w:t>$2.14B</w:t>
            </w:r>
          </w:p>
        </w:tc>
        <w:tc>
          <w:tcPr>
            <w:tcW w:type="dxa" w:w="1440"/>
          </w:tcPr>
          <w:p>
            <w:r>
              <w:rPr>
                <w:rFonts w:ascii="Calibri" w:hAnsi="Calibri"/>
                <w:sz w:val="22"/>
              </w:rPr>
              <w:t>$1.97B</w:t>
            </w:r>
          </w:p>
        </w:tc>
        <w:tc>
          <w:tcPr>
            <w:tcW w:type="dxa" w:w="1440"/>
          </w:tcPr>
          <w:p>
            <w:r>
              <w:rPr>
                <w:rFonts w:ascii="Calibri" w:hAnsi="Calibri"/>
                <w:b/>
                <w:color w:val="30A46C"/>
                <w:sz w:val="22"/>
              </w:rPr>
              <w:t>+9%</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Diluted Op. EPS ($)</w:t>
            </w:r>
          </w:p>
        </w:tc>
        <w:tc>
          <w:tcPr>
            <w:tcW w:type="dxa" w:w="1440"/>
          </w:tcPr>
          <w:p>
            <w:r>
              <w:rPr>
                <w:rFonts w:ascii="Calibri" w:hAnsi="Calibri"/>
                <w:sz w:val="22"/>
              </w:rPr>
              <w:t>$0.39</w:t>
            </w:r>
          </w:p>
        </w:tc>
        <w:tc>
          <w:tcPr>
            <w:tcW w:type="dxa" w:w="1440"/>
          </w:tcPr>
          <w:p>
            <w:r>
              <w:rPr>
                <w:rFonts w:ascii="Calibri" w:hAnsi="Calibri"/>
                <w:sz w:val="22"/>
              </w:rPr>
              <w:t>$0.34</w:t>
            </w:r>
          </w:p>
        </w:tc>
        <w:tc>
          <w:tcPr>
            <w:tcW w:type="dxa" w:w="1440"/>
          </w:tcPr>
          <w:p>
            <w:r>
              <w:rPr>
                <w:rFonts w:ascii="Calibri" w:hAnsi="Calibri"/>
                <w:b/>
                <w:color w:val="30A46C"/>
                <w:sz w:val="22"/>
              </w:rPr>
              <w:t>+15%</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Adj. EBIT ($B)</w:t>
            </w:r>
          </w:p>
        </w:tc>
        <w:tc>
          <w:tcPr>
            <w:tcW w:type="dxa" w:w="1440"/>
          </w:tcPr>
          <w:p>
            <w:r>
              <w:rPr>
                <w:rFonts w:ascii="Calibri" w:hAnsi="Calibri"/>
                <w:sz w:val="22"/>
              </w:rPr>
              <w:t>$2.55B</w:t>
            </w:r>
          </w:p>
        </w:tc>
        <w:tc>
          <w:tcPr>
            <w:tcW w:type="dxa" w:w="1440"/>
          </w:tcPr>
          <w:p>
            <w:r>
              <w:rPr>
                <w:rFonts w:ascii="Calibri" w:hAnsi="Calibri"/>
                <w:sz w:val="22"/>
              </w:rPr>
              <w:t>$2.65B</w:t>
            </w:r>
          </w:p>
        </w:tc>
        <w:tc>
          <w:tcPr>
            <w:tcW w:type="dxa" w:w="1440"/>
          </w:tcPr>
          <w:p>
            <w:r>
              <w:rPr>
                <w:rFonts w:ascii="Calibri" w:hAnsi="Calibri"/>
                <w:b/>
                <w:color w:val="E5484D"/>
                <w:sz w:val="22"/>
              </w:rPr>
              <w:t>-4%</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Diluted Op. EPS ($)</w:t>
            </w:r>
          </w:p>
        </w:tc>
        <w:tc>
          <w:tcPr>
            <w:tcW w:type="dxa" w:w="1440"/>
          </w:tcPr>
          <w:p>
            <w:r>
              <w:rPr>
                <w:rFonts w:ascii="Calibri" w:hAnsi="Calibri"/>
                <w:sz w:val="22"/>
              </w:rPr>
              <w:t>$0.49</w:t>
            </w:r>
          </w:p>
        </w:tc>
        <w:tc>
          <w:tcPr>
            <w:tcW w:type="dxa" w:w="1440"/>
          </w:tcPr>
          <w:p>
            <w:r>
              <w:rPr>
                <w:rFonts w:ascii="Calibri" w:hAnsi="Calibri"/>
                <w:sz w:val="22"/>
              </w:rPr>
              <w:t>$0.46</w:t>
            </w:r>
          </w:p>
        </w:tc>
        <w:tc>
          <w:tcPr>
            <w:tcW w:type="dxa" w:w="1440"/>
          </w:tcPr>
          <w:p>
            <w:r>
              <w:rPr>
                <w:rFonts w:ascii="Calibri" w:hAnsi="Calibri"/>
                <w:b/>
                <w:color w:val="30A46C"/>
                <w:sz w:val="22"/>
              </w:rPr>
              <w:t>+7%</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Adj. EBIT ($B)</w:t>
            </w:r>
          </w:p>
        </w:tc>
        <w:tc>
          <w:tcPr>
            <w:tcW w:type="dxa" w:w="1440"/>
          </w:tcPr>
          <w:p>
            <w:r>
              <w:rPr>
                <w:rFonts w:ascii="Calibri" w:hAnsi="Calibri"/>
                <w:sz w:val="22"/>
              </w:rPr>
              <w:t>$2.76B</w:t>
            </w:r>
          </w:p>
        </w:tc>
        <w:tc>
          <w:tcPr>
            <w:tcW w:type="dxa" w:w="1440"/>
          </w:tcPr>
          <w:p>
            <w:r>
              <w:rPr>
                <w:rFonts w:ascii="Calibri" w:hAnsi="Calibri"/>
                <w:sz w:val="22"/>
              </w:rPr>
              <w:t>$3.67B</w:t>
            </w:r>
          </w:p>
        </w:tc>
        <w:tc>
          <w:tcPr>
            <w:tcW w:type="dxa" w:w="1440"/>
          </w:tcPr>
          <w:p>
            <w:r>
              <w:rPr>
                <w:rFonts w:ascii="Calibri" w:hAnsi="Calibri"/>
                <w:b/>
                <w:color w:val="E5484D"/>
                <w:sz w:val="22"/>
              </w:rPr>
              <w:t>-25%</w:t>
            </w:r>
          </w:p>
        </w:tc>
        <w:tc>
          <w:tcPr>
            <w:tcW w:type="dxa" w:w="1440"/>
          </w:tcPr>
          <w:p>
            <w:r>
              <w:rPr>
                <w:rFonts w:ascii="Calibri" w:hAnsi="Calibri"/>
                <w:b/>
                <w:color w:val="E5484D"/>
                <w:sz w:val="22"/>
              </w:rPr>
              <w:t>MISS</w:t>
            </w:r>
          </w:p>
        </w:tc>
      </w:tr>
      <w:tr>
        <w:tc>
          <w:tcPr>
            <w:tcW w:type="dxa" w:w="1440"/>
          </w:tcPr>
          <w:p>
            <w:r>
              <w:rPr>
                <w:rFonts w:ascii="Calibri" w:hAnsi="Calibri"/>
                <w:sz w:val="22"/>
              </w:rPr>
              <w:t>Q2 2024</w:t>
            </w:r>
          </w:p>
        </w:tc>
        <w:tc>
          <w:tcPr>
            <w:tcW w:type="dxa" w:w="1440"/>
          </w:tcPr>
          <w:p>
            <w:r>
              <w:rPr>
                <w:rFonts w:ascii="Calibri" w:hAnsi="Calibri"/>
                <w:sz w:val="22"/>
              </w:rPr>
              <w:t>Diluted Op. EPS ($)</w:t>
            </w:r>
          </w:p>
        </w:tc>
        <w:tc>
          <w:tcPr>
            <w:tcW w:type="dxa" w:w="1440"/>
          </w:tcPr>
          <w:p>
            <w:r>
              <w:rPr>
                <w:rFonts w:ascii="Calibri" w:hAnsi="Calibri"/>
                <w:sz w:val="22"/>
              </w:rPr>
              <w:t>$0.47</w:t>
            </w:r>
          </w:p>
        </w:tc>
        <w:tc>
          <w:tcPr>
            <w:tcW w:type="dxa" w:w="1440"/>
          </w:tcPr>
          <w:p>
            <w:r>
              <w:rPr>
                <w:rFonts w:ascii="Calibri" w:hAnsi="Calibri"/>
                <w:sz w:val="22"/>
              </w:rPr>
              <w:t>$0.65</w:t>
            </w:r>
          </w:p>
        </w:tc>
        <w:tc>
          <w:tcPr>
            <w:tcW w:type="dxa" w:w="1440"/>
          </w:tcPr>
          <w:p>
            <w:r>
              <w:rPr>
                <w:rFonts w:ascii="Calibri" w:hAnsi="Calibri"/>
                <w:b/>
                <w:color w:val="E5484D"/>
                <w:sz w:val="22"/>
              </w:rPr>
              <w:t>-28%</w:t>
            </w:r>
          </w:p>
        </w:tc>
        <w:tc>
          <w:tcPr>
            <w:tcW w:type="dxa" w:w="1440"/>
          </w:tcPr>
          <w:p>
            <w:r>
              <w:rPr>
                <w:rFonts w:ascii="Calibri" w:hAnsi="Calibri"/>
                <w:b/>
                <w:color w:val="E5484D"/>
                <w:sz w:val="22"/>
              </w:rPr>
              <w:t>MISS</w:t>
            </w:r>
          </w:p>
        </w:tc>
      </w:tr>
    </w:tbl>
    <w:p>
      <w:r>
        <w:rPr>
          <w:rFonts w:ascii="Calibri" w:hAnsi="Calibri"/>
          <w:b/>
          <w:color w:val="525866"/>
          <w:sz w:val="22"/>
        </w:rPr>
        <w:t xml:space="preserve">Pattern: </w:t>
      </w:r>
      <w:r>
        <w:rPr>
          <w:rFonts w:ascii="Calibri" w:hAnsi="Calibri"/>
          <w:i/>
          <w:color w:val="525866"/>
          <w:sz w:val="22"/>
        </w:rPr>
        <w:t>Ford has beaten on adjusted EBIT in 6 of the last 8 quarters, with the two misses (Q2 2024 and Q4 2025) driven by warranty cost surprises and Novelis-related production disruptions respectively; the Q1 2026 beat was heavily distorted by the one-time $1.3B IEEPA tariff benefit.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 raised full-year EBIT guidance by $1B at Q1 earnings and has not revised it since; tone remains confident on Ford Pro and cost trajectory, but H2 commodity headwinds (~$2B YoY) and accelerating BASS/UEV investment are the acknowledged risks.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 Apr. 29,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Company Adj. EBIT (FY 2026)</w:t>
            </w:r>
          </w:p>
        </w:tc>
        <w:tc>
          <w:tcPr>
            <w:tcW w:type="dxa" w:w="1728"/>
          </w:tcPr>
          <w:p>
            <w:r>
              <w:rPr>
                <w:rFonts w:ascii="Calibri" w:hAnsi="Calibri"/>
                <w:sz w:val="22"/>
              </w:rPr>
              <w:t>$8.5B – $10.5B</w:t>
            </w:r>
          </w:p>
        </w:tc>
        <w:tc>
          <w:tcPr>
            <w:tcW w:type="dxa" w:w="1728"/>
          </w:tcPr>
          <w:p>
            <w:r>
              <w:rPr>
                <w:rFonts w:ascii="Calibri" w:hAnsi="Calibri"/>
                <w:sz w:val="22"/>
              </w:rPr>
              <w:t>—</w:t>
            </w:r>
          </w:p>
        </w:tc>
        <w:tc>
          <w:tcPr>
            <w:tcW w:type="dxa" w:w="1728"/>
          </w:tcPr>
          <w:p>
            <w:r>
              <w:rPr>
                <w:rFonts w:ascii="Calibri" w:hAnsi="Calibri"/>
                <w:sz w:val="22"/>
              </w:rPr>
              <w:t>$9.5B</w:t>
            </w:r>
          </w:p>
        </w:tc>
        <w:tc>
          <w:tcPr>
            <w:tcW w:type="dxa" w:w="1728"/>
          </w:tcPr>
          <w:p>
            <w:r>
              <w:rPr>
                <w:rFonts w:ascii="Calibri" w:hAnsi="Calibri"/>
                <w:sz w:val="22"/>
              </w:rPr>
              <w:t>↑ Raised at Q1 earnings (Apr. 29) from $7.5B–$9.5B; driven by software/services growth, net pricing, and favorable cost timing. No post-earnings revision.</w:t>
            </w:r>
          </w:p>
        </w:tc>
      </w:tr>
      <w:tr>
        <w:tc>
          <w:tcPr>
            <w:tcW w:type="dxa" w:w="1728"/>
          </w:tcPr>
          <w:p>
            <w:r>
              <w:rPr>
                <w:rFonts w:ascii="Calibri" w:hAnsi="Calibri"/>
                <w:sz w:val="22"/>
              </w:rPr>
              <w:t>Ford Pro EBIT (FY 2026)</w:t>
            </w:r>
          </w:p>
        </w:tc>
        <w:tc>
          <w:tcPr>
            <w:tcW w:type="dxa" w:w="1728"/>
          </w:tcPr>
          <w:p>
            <w:r>
              <w:rPr>
                <w:rFonts w:ascii="Calibri" w:hAnsi="Calibri"/>
                <w:sz w:val="22"/>
              </w:rPr>
              <w:t>$6.5B – $7.5B</w:t>
            </w:r>
          </w:p>
        </w:tc>
        <w:tc>
          <w:tcPr>
            <w:tcW w:type="dxa" w:w="1728"/>
          </w:tcPr>
          <w:p>
            <w:r>
              <w:rPr>
                <w:rFonts w:ascii="Calibri" w:hAnsi="Calibri"/>
                <w:sz w:val="22"/>
              </w:rPr>
              <w:t>—</w:t>
            </w:r>
          </w:p>
        </w:tc>
        <w:tc>
          <w:tcPr>
            <w:tcW w:type="dxa" w:w="1728"/>
          </w:tcPr>
          <w:p>
            <w:r>
              <w:rPr>
                <w:rFonts w:ascii="Calibri" w:hAnsi="Calibri"/>
                <w:sz w:val="22"/>
              </w:rPr>
              <w:t>$7.1B</w:t>
            </w:r>
          </w:p>
        </w:tc>
        <w:tc>
          <w:tcPr>
            <w:tcW w:type="dxa" w:w="1728"/>
          </w:tcPr>
          <w:p>
            <w:r>
              <w:rPr>
                <w:rFonts w:ascii="Calibri" w:hAnsi="Calibri"/>
                <w:sz w:val="22"/>
              </w:rPr>
              <w:t>Unchanged since Q1 call. Consensus near midpoint. Paid software subs surpassed 900K in H1 (up ~20% YoY), a positive leading indicator.</w:t>
            </w:r>
          </w:p>
        </w:tc>
      </w:tr>
      <w:tr>
        <w:tc>
          <w:tcPr>
            <w:tcW w:type="dxa" w:w="1728"/>
          </w:tcPr>
          <w:p>
            <w:r>
              <w:rPr>
                <w:rFonts w:ascii="Calibri" w:hAnsi="Calibri"/>
                <w:sz w:val="22"/>
              </w:rPr>
              <w:t>Ford Blue EBIT (FY 2026)</w:t>
            </w:r>
          </w:p>
        </w:tc>
        <w:tc>
          <w:tcPr>
            <w:tcW w:type="dxa" w:w="1728"/>
          </w:tcPr>
          <w:p>
            <w:r>
              <w:rPr>
                <w:rFonts w:ascii="Calibri" w:hAnsi="Calibri"/>
                <w:sz w:val="22"/>
              </w:rPr>
              <w:t>$4.5B – $5.0B</w:t>
            </w:r>
          </w:p>
        </w:tc>
        <w:tc>
          <w:tcPr>
            <w:tcW w:type="dxa" w:w="1728"/>
          </w:tcPr>
          <w:p>
            <w:r>
              <w:rPr>
                <w:rFonts w:ascii="Calibri" w:hAnsi="Calibri"/>
                <w:sz w:val="22"/>
              </w:rPr>
              <w:t>—</w:t>
            </w:r>
          </w:p>
        </w:tc>
        <w:tc>
          <w:tcPr>
            <w:tcW w:type="dxa" w:w="1728"/>
          </w:tcPr>
          <w:p>
            <w:r>
              <w:rPr>
                <w:rFonts w:ascii="Calibri" w:hAnsi="Calibri"/>
                <w:sz w:val="22"/>
              </w:rPr>
              <w:t>$4.9B</w:t>
            </w:r>
          </w:p>
        </w:tc>
        <w:tc>
          <w:tcPr>
            <w:tcW w:type="dxa" w:w="1728"/>
          </w:tcPr>
          <w:p>
            <w:r>
              <w:rPr>
                <w:rFonts w:ascii="Calibri" w:hAnsi="Calibri"/>
                <w:sz w:val="22"/>
              </w:rPr>
              <w:t>↑ Raised at Q1 earnings by $500M from prior $4.0B–$4.5B range; driven by stronger underlying business and F-Series pricing discipline.</w:t>
            </w:r>
          </w:p>
        </w:tc>
      </w:tr>
      <w:tr>
        <w:tc>
          <w:tcPr>
            <w:tcW w:type="dxa" w:w="1728"/>
          </w:tcPr>
          <w:p>
            <w:r>
              <w:rPr>
                <w:rFonts w:ascii="Calibri" w:hAnsi="Calibri"/>
                <w:sz w:val="22"/>
              </w:rPr>
              <w:t>Model e EBIT Loss (FY 2026)</w:t>
            </w:r>
          </w:p>
        </w:tc>
        <w:tc>
          <w:tcPr>
            <w:tcW w:type="dxa" w:w="1728"/>
          </w:tcPr>
          <w:p>
            <w:r>
              <w:rPr>
                <w:rFonts w:ascii="Calibri" w:hAnsi="Calibri"/>
                <w:sz w:val="22"/>
              </w:rPr>
              <w:t>-$4.0B to -$4.5B</w:t>
            </w:r>
          </w:p>
        </w:tc>
        <w:tc>
          <w:tcPr>
            <w:tcW w:type="dxa" w:w="1728"/>
          </w:tcPr>
          <w:p>
            <w:r>
              <w:rPr>
                <w:rFonts w:ascii="Calibri" w:hAnsi="Calibri"/>
                <w:sz w:val="22"/>
              </w:rPr>
              <w:t>—</w:t>
            </w:r>
          </w:p>
        </w:tc>
        <w:tc>
          <w:tcPr>
            <w:tcW w:type="dxa" w:w="1728"/>
          </w:tcPr>
          <w:p>
            <w:r>
              <w:rPr>
                <w:rFonts w:ascii="Calibri" w:hAnsi="Calibri"/>
                <w:sz w:val="22"/>
              </w:rPr>
              <w:t>-$4.4B</w:t>
            </w:r>
          </w:p>
        </w:tc>
        <w:tc>
          <w:tcPr>
            <w:tcW w:type="dxa" w:w="1728"/>
          </w:tcPr>
          <w:p>
            <w:r>
              <w:rPr>
                <w:rFonts w:ascii="Calibri" w:hAnsi="Calibri"/>
                <w:sz w:val="22"/>
              </w:rPr>
              <w:t>Unchanged. Q1 was guided as the strongest quarter for Model e; losses expected to widen in Q2–Q4 as BASS/UEV investment ramps. Consensus near top of loss range.</w:t>
            </w:r>
          </w:p>
        </w:tc>
      </w:tr>
      <w:tr>
        <w:tc>
          <w:tcPr>
            <w:tcW w:type="dxa" w:w="1728"/>
          </w:tcPr>
          <w:p>
            <w:r>
              <w:rPr>
                <w:rFonts w:ascii="Calibri" w:hAnsi="Calibri"/>
                <w:sz w:val="22"/>
              </w:rPr>
              <w:t>Adj. Free Cash Flow (FY 2026)</w:t>
            </w:r>
          </w:p>
        </w:tc>
        <w:tc>
          <w:tcPr>
            <w:tcW w:type="dxa" w:w="1728"/>
          </w:tcPr>
          <w:p>
            <w:r>
              <w:rPr>
                <w:rFonts w:ascii="Calibri" w:hAnsi="Calibri"/>
                <w:sz w:val="22"/>
              </w:rPr>
              <w:t>$5.0B – $6.0B</w:t>
            </w:r>
          </w:p>
        </w:tc>
        <w:tc>
          <w:tcPr>
            <w:tcW w:type="dxa" w:w="1728"/>
          </w:tcPr>
          <w:p>
            <w:r>
              <w:rPr>
                <w:rFonts w:ascii="Calibri" w:hAnsi="Calibri"/>
                <w:sz w:val="22"/>
              </w:rPr>
              <w:t>—</w:t>
            </w:r>
          </w:p>
        </w:tc>
        <w:tc>
          <w:tcPr>
            <w:tcW w:type="dxa" w:w="1728"/>
          </w:tcPr>
          <w:p>
            <w:r>
              <w:rPr>
                <w:rFonts w:ascii="Calibri" w:hAnsi="Calibri"/>
                <w:sz w:val="22"/>
              </w:rPr>
              <w:t>$1.5B (FY cons.)</w:t>
            </w:r>
          </w:p>
        </w:tc>
        <w:tc>
          <w:tcPr>
            <w:tcW w:type="dxa" w:w="1728"/>
          </w:tcPr>
          <w:p>
            <w:r>
              <w:rPr>
                <w:rFonts w:ascii="Calibri" w:hAnsi="Calibri"/>
                <w:sz w:val="22"/>
              </w:rPr>
              <w:t>FCF guidance unchanged; $1.3B IEEPA cash receipt excluded from guidance due to timing uncertainty. Consensus well below guidance midpoint, reflecting skepticism on working capital timing.</w:t>
            </w:r>
          </w:p>
        </w:tc>
      </w:tr>
      <w:tr>
        <w:tc>
          <w:tcPr>
            <w:tcW w:type="dxa" w:w="1728"/>
          </w:tcPr>
          <w:p>
            <w:r>
              <w:rPr>
                <w:rFonts w:ascii="Calibri" w:hAnsi="Calibri"/>
                <w:sz w:val="22"/>
              </w:rPr>
              <w:t>CapEx – ex-Ford Credit (FY 2026)</w:t>
            </w:r>
          </w:p>
        </w:tc>
        <w:tc>
          <w:tcPr>
            <w:tcW w:type="dxa" w:w="1728"/>
          </w:tcPr>
          <w:p>
            <w:r>
              <w:rPr>
                <w:rFonts w:ascii="Calibri" w:hAnsi="Calibri"/>
                <w:sz w:val="22"/>
              </w:rPr>
              <w:t>$9.5B – $10.5B</w:t>
            </w:r>
          </w:p>
        </w:tc>
        <w:tc>
          <w:tcPr>
            <w:tcW w:type="dxa" w:w="1728"/>
          </w:tcPr>
          <w:p>
            <w:r>
              <w:rPr>
                <w:rFonts w:ascii="Calibri" w:hAnsi="Calibri"/>
                <w:sz w:val="22"/>
              </w:rPr>
              <w:t>—</w:t>
            </w:r>
          </w:p>
        </w:tc>
        <w:tc>
          <w:tcPr>
            <w:tcW w:type="dxa" w:w="1728"/>
          </w:tcPr>
          <w:p>
            <w:r>
              <w:rPr>
                <w:rFonts w:ascii="Calibri" w:hAnsi="Calibri"/>
                <w:sz w:val="22"/>
              </w:rPr>
              <w:t>$10.1B</w:t>
            </w:r>
          </w:p>
        </w:tc>
        <w:tc>
          <w:tcPr>
            <w:tcW w:type="dxa" w:w="1728"/>
          </w:tcPr>
          <w:p>
            <w:r>
              <w:rPr>
                <w:rFonts w:ascii="Calibri" w:hAnsi="Calibri"/>
                <w:sz w:val="22"/>
              </w:rPr>
              <w:t>Includes $1.5B for Ford Energy (BASS). Reflects shift toward higher-return growth opportunities. Consensus near midpoint.</w:t>
            </w:r>
          </w:p>
        </w:tc>
      </w:tr>
      <w:tr>
        <w:tc>
          <w:tcPr>
            <w:tcW w:type="dxa" w:w="1728"/>
          </w:tcPr>
          <w:p>
            <w:r>
              <w:rPr>
                <w:rFonts w:ascii="Calibri" w:hAnsi="Calibri"/>
                <w:sz w:val="22"/>
              </w:rPr>
              <w:t>Ford Credit EBT (FY 2026)</w:t>
            </w:r>
          </w:p>
        </w:tc>
        <w:tc>
          <w:tcPr>
            <w:tcW w:type="dxa" w:w="1728"/>
          </w:tcPr>
          <w:p>
            <w:r>
              <w:rPr>
                <w:rFonts w:ascii="Calibri" w:hAnsi="Calibri"/>
                <w:sz w:val="22"/>
              </w:rPr>
              <w:t>~$2.5B</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Unchanged. Q1 EBT was $783M, up $200M YoY. High-quality book of business cited.</w:t>
            </w:r>
          </w:p>
        </w:tc>
      </w:tr>
      <w:tr>
        <w:tc>
          <w:tcPr>
            <w:tcW w:type="dxa" w:w="1728"/>
          </w:tcPr>
          <w:p>
            <w:r>
              <w:rPr>
                <w:rFonts w:ascii="Calibri" w:hAnsi="Calibri"/>
                <w:sz w:val="22"/>
              </w:rPr>
              <w:t>US SAAR Assumption</w:t>
            </w:r>
          </w:p>
        </w:tc>
        <w:tc>
          <w:tcPr>
            <w:tcW w:type="dxa" w:w="1728"/>
          </w:tcPr>
          <w:p>
            <w:r>
              <w:rPr>
                <w:rFonts w:ascii="Calibri" w:hAnsi="Calibri"/>
                <w:sz w:val="22"/>
              </w:rPr>
              <w:t>16.0M – 16.5M units</w:t>
            </w:r>
          </w:p>
        </w:tc>
        <w:tc>
          <w:tcPr>
            <w:tcW w:type="dxa" w:w="1728"/>
          </w:tcPr>
          <w:p>
            <w:r>
              <w:rPr>
                <w:rFonts w:ascii="Calibri" w:hAnsi="Calibri"/>
                <w:sz w:val="22"/>
              </w:rPr>
              <w:t>—</w:t>
            </w:r>
          </w:p>
        </w:tc>
        <w:tc>
          <w:tcPr>
            <w:tcW w:type="dxa" w:w="1728"/>
          </w:tcPr>
          <w:p>
            <w:r>
              <w:rPr>
                <w:rFonts w:ascii="Calibri" w:hAnsi="Calibri"/>
                <w:sz w:val="22"/>
              </w:rPr>
              <w:t>~16M (industry est.)</w:t>
            </w:r>
          </w:p>
        </w:tc>
        <w:tc>
          <w:tcPr>
            <w:tcW w:type="dxa" w:w="1728"/>
          </w:tcPr>
          <w:p>
            <w:r>
              <w:rPr>
                <w:rFonts w:ascii="Calibri" w:hAnsi="Calibri"/>
                <w:sz w:val="22"/>
              </w:rPr>
              <w:t>Unchanged. GM also guided low-16M SAAR for FY 2026, consistent with Ford’s assumption.</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have drifted modestly lower since Q1 earnings (operating EPS -3% from $0.36 to $0.35), while FY 2026 estimates are essentially flat, suggesting the street has absorbed the guidance raise without adding incremental upside — a setup that favors a beat if Ford Pro or Ford Blue surprises.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5,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EBIT — Q2 2026</w:t>
            </w:r>
          </w:p>
        </w:tc>
        <w:tc>
          <w:tcPr>
            <w:tcW w:type="dxa" w:w="1080"/>
          </w:tcPr>
          <w:p>
            <w:r>
              <w:rPr>
                <w:rFonts w:ascii="Calibri" w:hAnsi="Calibri"/>
                <w:sz w:val="22"/>
              </w:rPr>
              <w:t>$2.13B</w:t>
            </w:r>
          </w:p>
        </w:tc>
        <w:tc>
          <w:tcPr>
            <w:tcW w:type="dxa" w:w="1080"/>
          </w:tcPr>
          <w:p>
            <w:r>
              <w:rPr>
                <w:rFonts w:ascii="Calibri" w:hAnsi="Calibri"/>
                <w:sz w:val="22"/>
              </w:rPr>
              <w:t>$2.11B</w:t>
            </w:r>
          </w:p>
        </w:tc>
        <w:tc>
          <w:tcPr>
            <w:tcW w:type="dxa" w:w="1080"/>
          </w:tcPr>
          <w:p>
            <w:r>
              <w:rPr>
                <w:rFonts w:ascii="Calibri" w:hAnsi="Calibri"/>
                <w:sz w:val="22"/>
              </w:rPr>
              <w:t>-0.9%</w:t>
            </w:r>
          </w:p>
        </w:tc>
        <w:tc>
          <w:tcPr>
            <w:tcW w:type="dxa" w:w="1080"/>
          </w:tcPr>
          <w:p>
            <w:r>
              <w:rPr>
                <w:rFonts w:ascii="Calibri" w:hAnsi="Calibri"/>
                <w:sz w:val="22"/>
              </w:rPr>
              <w:t>~$2.1–$2.2B (implied)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~flat vs. guidance midpoint</w:t>
            </w:r>
          </w:p>
        </w:tc>
      </w:tr>
      <w:tr>
        <w:tc>
          <w:tcPr>
            <w:tcW w:type="dxa" w:w="1080"/>
          </w:tcPr>
          <w:p>
            <w:r>
              <w:rPr>
                <w:rFonts w:ascii="Calibri" w:hAnsi="Calibri"/>
                <w:sz w:val="22"/>
              </w:rPr>
              <w:t>Diluted Op. EPS — Q2 2026</w:t>
            </w:r>
          </w:p>
        </w:tc>
        <w:tc>
          <w:tcPr>
            <w:tcW w:type="dxa" w:w="1080"/>
          </w:tcPr>
          <w:p>
            <w:r>
              <w:rPr>
                <w:rFonts w:ascii="Calibri" w:hAnsi="Calibri"/>
                <w:sz w:val="22"/>
              </w:rPr>
              <w:t>$0.356</w:t>
            </w:r>
          </w:p>
        </w:tc>
        <w:tc>
          <w:tcPr>
            <w:tcW w:type="dxa" w:w="1080"/>
          </w:tcPr>
          <w:p>
            <w:r>
              <w:rPr>
                <w:rFonts w:ascii="Calibri" w:hAnsi="Calibri"/>
                <w:sz w:val="22"/>
              </w:rPr>
              <w:t>$0.345</w:t>
            </w:r>
          </w:p>
        </w:tc>
        <w:tc>
          <w:tcPr>
            <w:tcW w:type="dxa" w:w="1080"/>
          </w:tcPr>
          <w:p>
            <w:r>
              <w:rPr>
                <w:rFonts w:ascii="Calibri" w:hAnsi="Calibri"/>
                <w:b/>
                <w:color w:val="E5484D"/>
                <w:sz w:val="22"/>
              </w:rPr>
              <w:t>-3.1%</w:t>
            </w:r>
          </w:p>
        </w:tc>
        <w:tc>
          <w:tcPr>
            <w:tcW w:type="dxa" w:w="1080"/>
          </w:tcPr>
          <w:p>
            <w:r>
              <w:rPr>
                <w:rFonts w:ascii="Calibri" w:hAnsi="Calibri"/>
                <w:sz w:val="22"/>
              </w:rPr>
              <w:t>N/A (not guided)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Total Revenue — Q2 2026</w:t>
            </w:r>
          </w:p>
        </w:tc>
        <w:tc>
          <w:tcPr>
            <w:tcW w:type="dxa" w:w="1080"/>
          </w:tcPr>
          <w:p>
            <w:r>
              <w:rPr>
                <w:rFonts w:ascii="Calibri" w:hAnsi="Calibri"/>
                <w:sz w:val="22"/>
              </w:rPr>
              <w:t>$50.5B</w:t>
            </w:r>
          </w:p>
        </w:tc>
        <w:tc>
          <w:tcPr>
            <w:tcW w:type="dxa" w:w="1080"/>
          </w:tcPr>
          <w:p>
            <w:r>
              <w:rPr>
                <w:rFonts w:ascii="Calibri" w:hAnsi="Calibri"/>
                <w:sz w:val="22"/>
              </w:rPr>
              <w:t>$49.6B</w:t>
            </w:r>
          </w:p>
        </w:tc>
        <w:tc>
          <w:tcPr>
            <w:tcW w:type="dxa" w:w="1080"/>
          </w:tcPr>
          <w:p>
            <w:r>
              <w:rPr>
                <w:rFonts w:ascii="Calibri" w:hAnsi="Calibri"/>
                <w:b/>
                <w:color w:val="E5484D"/>
                <w:sz w:val="22"/>
              </w:rPr>
              <w:t>-1.8%</w:t>
            </w:r>
          </w:p>
        </w:tc>
        <w:tc>
          <w:tcPr>
            <w:tcW w:type="dxa" w:w="1080"/>
          </w:tcPr>
          <w:p>
            <w:r>
              <w:rPr>
                <w:rFonts w:ascii="Calibri" w:hAnsi="Calibri"/>
                <w:sz w:val="22"/>
              </w:rPr>
              <w:t>N/A (not guided)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EBIT — FY 2026</w:t>
            </w:r>
          </w:p>
        </w:tc>
        <w:tc>
          <w:tcPr>
            <w:tcW w:type="dxa" w:w="1080"/>
          </w:tcPr>
          <w:p>
            <w:r>
              <w:rPr>
                <w:rFonts w:ascii="Calibri" w:hAnsi="Calibri"/>
                <w:sz w:val="22"/>
              </w:rPr>
              <w:t>$9.47B</w:t>
            </w:r>
          </w:p>
        </w:tc>
        <w:tc>
          <w:tcPr>
            <w:tcW w:type="dxa" w:w="1080"/>
          </w:tcPr>
          <w:p>
            <w:r>
              <w:rPr>
                <w:rFonts w:ascii="Calibri" w:hAnsi="Calibri"/>
                <w:sz w:val="22"/>
              </w:rPr>
              <w:t>$9.54B</w:t>
            </w:r>
          </w:p>
        </w:tc>
        <w:tc>
          <w:tcPr>
            <w:tcW w:type="dxa" w:w="1080"/>
          </w:tcPr>
          <w:p>
            <w:r>
              <w:rPr>
                <w:rFonts w:ascii="Calibri" w:hAnsi="Calibri"/>
                <w:b/>
                <w:color w:val="30A46C"/>
                <w:sz w:val="22"/>
              </w:rPr>
              <w:t>+0.7%</w:t>
            </w:r>
          </w:p>
        </w:tc>
        <w:tc>
          <w:tcPr>
            <w:tcW w:type="dxa" w:w="1080"/>
          </w:tcPr>
          <w:p>
            <w:r>
              <w:rPr>
                <w:rFonts w:ascii="Calibri" w:hAnsi="Calibri"/>
                <w:sz w:val="22"/>
              </w:rPr>
              <w:t>$8.5B–$10.5B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~flat vs. midpoint ($9.5B)</w:t>
            </w:r>
          </w:p>
        </w:tc>
      </w:tr>
      <w:tr>
        <w:tc>
          <w:tcPr>
            <w:tcW w:type="dxa" w:w="1080"/>
          </w:tcPr>
          <w:p>
            <w:r>
              <w:rPr>
                <w:rFonts w:ascii="Calibri" w:hAnsi="Calibri"/>
                <w:sz w:val="22"/>
              </w:rPr>
              <w:t>Diluted Op. EPS — FY 2026</w:t>
            </w:r>
          </w:p>
        </w:tc>
        <w:tc>
          <w:tcPr>
            <w:tcW w:type="dxa" w:w="1080"/>
          </w:tcPr>
          <w:p>
            <w:r>
              <w:rPr>
                <w:rFonts w:ascii="Calibri" w:hAnsi="Calibri"/>
                <w:sz w:val="22"/>
              </w:rPr>
              <w:t>$1.650</w:t>
            </w:r>
          </w:p>
        </w:tc>
        <w:tc>
          <w:tcPr>
            <w:tcW w:type="dxa" w:w="1080"/>
          </w:tcPr>
          <w:p>
            <w:r>
              <w:rPr>
                <w:rFonts w:ascii="Calibri" w:hAnsi="Calibri"/>
                <w:sz w:val="22"/>
              </w:rPr>
              <w:t>$1.650</w:t>
            </w:r>
          </w:p>
        </w:tc>
        <w:tc>
          <w:tcPr>
            <w:tcW w:type="dxa" w:w="1080"/>
          </w:tcPr>
          <w:p>
            <w:r>
              <w:rPr>
                <w:rFonts w:ascii="Calibri" w:hAnsi="Calibri"/>
                <w:sz w:val="22"/>
              </w:rPr>
              <w:t>0.0%</w:t>
            </w:r>
          </w:p>
        </w:tc>
        <w:tc>
          <w:tcPr>
            <w:tcW w:type="dxa" w:w="1080"/>
          </w:tcPr>
          <w:p>
            <w:r>
              <w:rPr>
                <w:rFonts w:ascii="Calibri" w:hAnsi="Calibri"/>
                <w:sz w:val="22"/>
              </w:rPr>
              <w:t>N/A (not guided)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Total Revenue — FY 2026</w:t>
            </w:r>
          </w:p>
        </w:tc>
        <w:tc>
          <w:tcPr>
            <w:tcW w:type="dxa" w:w="1080"/>
          </w:tcPr>
          <w:p>
            <w:r>
              <w:rPr>
                <w:rFonts w:ascii="Calibri" w:hAnsi="Calibri"/>
                <w:sz w:val="22"/>
              </w:rPr>
              <w:t>$194.0B</w:t>
            </w:r>
          </w:p>
        </w:tc>
        <w:tc>
          <w:tcPr>
            <w:tcW w:type="dxa" w:w="1080"/>
          </w:tcPr>
          <w:p>
            <w:r>
              <w:rPr>
                <w:rFonts w:ascii="Calibri" w:hAnsi="Calibri"/>
                <w:sz w:val="22"/>
              </w:rPr>
              <w:t>$193.1B</w:t>
            </w:r>
          </w:p>
        </w:tc>
        <w:tc>
          <w:tcPr>
            <w:tcW w:type="dxa" w:w="1080"/>
          </w:tcPr>
          <w:p>
            <w:r>
              <w:rPr>
                <w:rFonts w:ascii="Calibri" w:hAnsi="Calibri"/>
                <w:sz w:val="22"/>
              </w:rPr>
              <w:t>-0.5%</w:t>
            </w:r>
          </w:p>
        </w:tc>
        <w:tc>
          <w:tcPr>
            <w:tcW w:type="dxa" w:w="1080"/>
          </w:tcPr>
          <w:p>
            <w:r>
              <w:rPr>
                <w:rFonts w:ascii="Calibri" w:hAnsi="Calibri"/>
                <w:sz w:val="22"/>
              </w:rPr>
              <w:t>N/A (not guided)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Ford Pro EBIT — FY 2026</w:t>
            </w:r>
          </w:p>
        </w:tc>
        <w:tc>
          <w:tcPr>
            <w:tcW w:type="dxa" w:w="1080"/>
          </w:tcPr>
          <w:p>
            <w:r>
              <w:rPr>
                <w:rFonts w:ascii="Calibri" w:hAnsi="Calibri"/>
                <w:sz w:val="22"/>
              </w:rPr>
              <w:t>$7.16B</w:t>
            </w:r>
          </w:p>
        </w:tc>
        <w:tc>
          <w:tcPr>
            <w:tcW w:type="dxa" w:w="1080"/>
          </w:tcPr>
          <w:p>
            <w:r>
              <w:rPr>
                <w:rFonts w:ascii="Calibri" w:hAnsi="Calibri"/>
                <w:sz w:val="22"/>
              </w:rPr>
              <w:t>$7.08B</w:t>
            </w:r>
          </w:p>
        </w:tc>
        <w:tc>
          <w:tcPr>
            <w:tcW w:type="dxa" w:w="1080"/>
          </w:tcPr>
          <w:p>
            <w:r>
              <w:rPr>
                <w:rFonts w:ascii="Calibri" w:hAnsi="Calibri"/>
                <w:sz w:val="22"/>
              </w:rPr>
              <w:t>-1.1%</w:t>
            </w:r>
          </w:p>
        </w:tc>
        <w:tc>
          <w:tcPr>
            <w:tcW w:type="dxa" w:w="1080"/>
          </w:tcPr>
          <w:p>
            <w:r>
              <w:rPr>
                <w:rFonts w:ascii="Calibri" w:hAnsi="Calibri"/>
                <w:sz w:val="22"/>
              </w:rPr>
              <w:t>$6.5B–$7.5B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-6% vs. midpoint ($7.0B)</w:t>
            </w:r>
          </w:p>
        </w:tc>
      </w:tr>
      <w:tr>
        <w:tc>
          <w:tcPr>
            <w:tcW w:type="dxa" w:w="1080"/>
          </w:tcPr>
          <w:p>
            <w:r>
              <w:rPr>
                <w:rFonts w:ascii="Calibri" w:hAnsi="Calibri"/>
                <w:sz w:val="22"/>
              </w:rPr>
              <w:t>Model e EBIT — FY 2026</w:t>
            </w:r>
          </w:p>
        </w:tc>
        <w:tc>
          <w:tcPr>
            <w:tcW w:type="dxa" w:w="1080"/>
          </w:tcPr>
          <w:p>
            <w:r>
              <w:rPr>
                <w:rFonts w:ascii="Calibri" w:hAnsi="Calibri"/>
                <w:sz w:val="22"/>
              </w:rPr>
              <w:t>-$4.36B</w:t>
            </w:r>
          </w:p>
        </w:tc>
        <w:tc>
          <w:tcPr>
            <w:tcW w:type="dxa" w:w="1080"/>
          </w:tcPr>
          <w:p>
            <w:r>
              <w:rPr>
                <w:rFonts w:ascii="Calibri" w:hAnsi="Calibri"/>
                <w:sz w:val="22"/>
              </w:rPr>
              <w:t>-$4.36B</w:t>
            </w:r>
          </w:p>
        </w:tc>
        <w:tc>
          <w:tcPr>
            <w:tcW w:type="dxa" w:w="1080"/>
          </w:tcPr>
          <w:p>
            <w:r>
              <w:rPr>
                <w:rFonts w:ascii="Calibri" w:hAnsi="Calibri"/>
                <w:sz w:val="22"/>
              </w:rPr>
              <w:t>0.0%</w:t>
            </w:r>
          </w:p>
        </w:tc>
        <w:tc>
          <w:tcPr>
            <w:tcW w:type="dxa" w:w="1080"/>
          </w:tcPr>
          <w:p>
            <w:r>
              <w:rPr>
                <w:rFonts w:ascii="Calibri" w:hAnsi="Calibri"/>
                <w:sz w:val="22"/>
              </w:rPr>
              <w:t>-$4.0B to -$4.5B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Near top of loss range</w:t>
            </w:r>
          </w:p>
        </w:tc>
      </w:tr>
    </w:tbl>
    <w:p>
      <w:r>
        <w:rPr>
          <w:rFonts w:ascii="Calibri" w:hAnsi="Calibri"/>
          <w:i/>
          <w:color w:val="525866"/>
          <w:sz w:val="22"/>
        </w:rPr>
        <w:t>Source: Visible Alpha Consensus and Actuals Data. Post-Q1 baseline uses consensus as of May 5, 2026 (5 trading days after April 29 earnings). Current consensus as of July 28, 2026.</w:t>
      </w:r>
    </w:p>
    <w:p>
      <w:r>
        <w:rPr>
          <w:rFonts w:ascii="Calibri" w:hAnsi="Calibri"/>
          <w:i/>
          <w:color w:val="525866"/>
          <w:sz w:val="22"/>
        </w:rPr>
        <w:t>Estimates have been remarkably stable since Q1 earnings, with only a modest -3% drift in Q2 EPS and flat FY numbers — the street has essentially taken guidance at face value. The gap between FY FCF consensus (~$1.5B) and guidance midpoint ($5.5B) is the most notable divergence, reflecting market skepticism about the timing of the $1.3B IEEPA cash receipt and working capital normalization.</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F has rallied ~20% since Q1 earnings vs. SPY +4% and XLY -5%, driven almost entirely by multiple expansion on the Ford Energy re-rating rather than earnings revisions — the core auto business is now priced for modest expectations, creating an asymmetric setup into Q2.</w:t>
      </w:r>
    </w:p>
    <w:p>
      <w:r>
        <w:rPr>
          <w:rFonts w:ascii="Calibri" w:hAnsi="Calibri"/>
          <w:color w:val="525866"/>
          <w:sz w:val="22"/>
        </w:rPr>
        <w:t>Since the Q1 2026 earnings print on April 29, Ford stock has significantly outperformed both the S&amp;P 500 and the Consumer Discretionary ETF (XLY). F rose from $12.24 to $14.68 (+19.9%), while SPY gained +3.9% and XLY declined -5.1% over the same period. The outperformance was driven by two distinct catalysts: (1) the Ford Energy announcement in mid-May, which triggered a 13%+ single-day surge on May 13 and a further 20%+ two-day rally through May 14 as Morgan Stanley estimated the energy arm at $10B; and (2) the Novelis hot mill restart confirmation in June, which removed a key production overhang. The stock peaked at $17.44 on May 29 before pulling back ~16% to the current $14.68 level, as investors digested the commodity headwind guidance and the reality that Ford Energy revenues are 2028+ in nature. The XLY underperformance reflects broader consumer discretionary weakness, making Ford’s relative outperformance even more notable. Heading into Q2, the stock is trading at approximately 9x NTM earnings — a discount to the sector but above Ford’s own 5-year average — suggesting the market has partially priced in the Ford Energy optionality without fully crediting the core auto improvement story.</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F vs. XLY vs. S&amp;P 500 — Indexed to 100 at Q1 2026 Earnings (April 29, 2026). Source: Yahoo Finance / Stock Price Data.</w:t>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Ford Energy pivot and Novelis recovery are the two most consequential developments since Q1 earnings — the former re-rated the stock, the latter removes the biggest production overhang heading into H2.</w:t>
      </w:r>
    </w:p>
    <w:p>
      <w:pPr>
        <w:pStyle w:val="ListBullet"/>
        <w:ind w:left="360" w:hanging="360"/>
      </w:pPr>
      <w:r>
        <w:rPr>
          <w:rFonts w:ascii="Calibri" w:hAnsi="Calibri"/>
          <w:b/>
          <w:color w:val="525866"/>
          <w:sz w:val="22"/>
        </w:rPr>
        <w:t xml:space="preserve">May 13, 2026 — Ford Energy Investor Day / Morgan Stanley $10B Valuation: </w:t>
      </w:r>
      <w:r>
        <w:rPr>
          <w:rFonts w:ascii="Calibri" w:hAnsi="Calibri"/>
          <w:color w:val="525866"/>
          <w:sz w:val="22"/>
        </w:rPr>
        <w:t xml:space="preserve">Ford formally launched its energy storage subsidiary (Ford Energy) with a $2B investment, targeting AI data centers, utilities, and industrial customers using repurposed EV battery capacity. Morgan Stanley estimated the arm at $10B, triggering a 13%+ single-day stock surge — the largest since 2020. </w:t>
      </w:r>
    </w:p>
    <w:p>
      <w:pPr>
        <w:pStyle w:val="ListBullet"/>
        <w:ind w:left="360" w:hanging="360"/>
      </w:pPr>
      <w:r>
        <w:rPr>
          <w:rFonts w:ascii="Calibri" w:hAnsi="Calibri"/>
          <w:b/>
          <w:color w:val="525866"/>
          <w:sz w:val="22"/>
        </w:rPr>
        <w:t xml:space="preserve">May 18, 2026 — EDF Power Solutions Framework Agreement: </w:t>
      </w:r>
      <w:r>
        <w:rPr>
          <w:rFonts w:ascii="Calibri" w:hAnsi="Calibri"/>
          <w:color w:val="525866"/>
          <w:sz w:val="22"/>
        </w:rPr>
        <w:t>Ford Energy signed a five-year deal with EDF to supply up to 20 GWh of battery energy storage systems, with deliveries beginning in 2028. This was the first major commercial contract for Ford Energy and validated the business model. Ford also detailed its European growth strategy, announcing seven new models by 2029 including a compact Bronco SUV built in Spain from 2028.</w:t>
      </w:r>
    </w:p>
    <w:p>
      <w:pPr>
        <w:pStyle w:val="ListBullet"/>
        <w:ind w:left="360" w:hanging="360"/>
      </w:pPr>
      <w:r>
        <w:rPr>
          <w:rFonts w:ascii="Calibri" w:hAnsi="Calibri"/>
          <w:b/>
          <w:color w:val="525866"/>
          <w:sz w:val="22"/>
        </w:rPr>
        <w:t xml:space="preserve">May 27, 2026 — F Stock Hits 3-Year High ($15.32): </w:t>
      </w:r>
      <w:r>
        <w:rPr>
          <w:rFonts w:ascii="Calibri" w:hAnsi="Calibri"/>
          <w:color w:val="525866"/>
          <w:sz w:val="22"/>
        </w:rPr>
        <w:t>Stock closed at its highest level since 2023, up 28% over two weeks, driven by Ford Energy enthusiasm and CATL partnership optionality. BNP Paribas described it as "a true repurposing of excess battery cell capacity."</w:t>
      </w:r>
    </w:p>
    <w:p>
      <w:pPr>
        <w:pStyle w:val="ListBullet"/>
        <w:ind w:left="360" w:hanging="360"/>
      </w:pPr>
      <w:r>
        <w:rPr>
          <w:rFonts w:ascii="Calibri" w:hAnsi="Calibri"/>
          <w:b/>
          <w:color w:val="525866"/>
          <w:sz w:val="22"/>
        </w:rPr>
        <w:t xml:space="preserve">June 10, 2026 — Novelis Oswego Plant Restart Confirmed: </w:t>
      </w:r>
      <w:r>
        <w:rPr>
          <w:rFonts w:ascii="Calibri" w:hAnsi="Calibri"/>
          <w:color w:val="525866"/>
          <w:sz w:val="22"/>
        </w:rPr>
        <w:t xml:space="preserve">Ford’s top aluminum supplier restarted its key Oswego, NY plant after a nine-month shutdown due to fires. This removes the primary F-Series production constraint; Ford expects full capacity in Q4 2026 with ~50K makeup units. </w:t>
      </w:r>
    </w:p>
    <w:p>
      <w:pPr>
        <w:pStyle w:val="ListBullet"/>
        <w:ind w:left="360" w:hanging="360"/>
      </w:pPr>
      <w:r>
        <w:rPr>
          <w:rFonts w:ascii="Calibri" w:hAnsi="Calibri"/>
          <w:b/>
          <w:color w:val="525866"/>
          <w:sz w:val="22"/>
        </w:rPr>
        <w:t xml:space="preserve">June 25, 2026 — J.D. Power #4 Initial Quality Ranking: </w:t>
      </w:r>
      <w:r>
        <w:rPr>
          <w:rFonts w:ascii="Calibri" w:hAnsi="Calibri"/>
          <w:color w:val="525866"/>
          <w:sz w:val="22"/>
        </w:rPr>
        <w:t>Ford ranked #4 in J.D. Power’s 2026 US Customer Service Index, its best performance in 30 years. CEO Farley credited a culture-first approach and American workforce. Ford also rehired 350 veteran engineers after AI systems fell short on quality, expected to save $1B.</w:t>
      </w:r>
    </w:p>
    <w:p>
      <w:pPr>
        <w:pStyle w:val="ListBullet"/>
        <w:ind w:left="360" w:hanging="360"/>
      </w:pPr>
      <w:r>
        <w:rPr>
          <w:rFonts w:ascii="Calibri" w:hAnsi="Calibri"/>
          <w:b/>
          <w:color w:val="525866"/>
          <w:sz w:val="22"/>
        </w:rPr>
        <w:t xml:space="preserve">July 2, 2026 — Q2 US Sales Release (10% Decline): </w:t>
      </w:r>
      <w:r>
        <w:rPr>
          <w:rFonts w:ascii="Calibri" w:hAnsi="Calibri"/>
          <w:color w:val="525866"/>
          <w:sz w:val="22"/>
        </w:rPr>
        <w:t xml:space="preserve">Total Q2 sales fell 10% to 549,200 vehicles, reflecting model phase-outs (Escape, Lincoln Corsair) and a 69% drop in daily rental sales. Excluding these, sales would have risen ~0.5%. F-Series maintained its #1 truck position; Maverick Hybrid set a Q2 record (+19.3%). Ford Pro Intelligence paid software subscriptions surpassed 900K (up ~20% YoY in H1). </w:t>
      </w:r>
    </w:p>
    <w:p>
      <w:pPr>
        <w:pStyle w:val="ListBullet"/>
        <w:ind w:left="360" w:hanging="360"/>
      </w:pPr>
      <w:r>
        <w:rPr>
          <w:rFonts w:ascii="Calibri" w:hAnsi="Calibri"/>
          <w:b/>
          <w:color w:val="525866"/>
          <w:sz w:val="22"/>
        </w:rPr>
        <w:t xml:space="preserve">July 2, 2026 — Ford CEO USMCA Commentary: </w:t>
      </w:r>
      <w:r>
        <w:rPr>
          <w:rFonts w:ascii="Calibri" w:hAnsi="Calibri"/>
          <w:color w:val="525866"/>
          <w:sz w:val="22"/>
        </w:rPr>
        <w:t>CEO Farley publicly urged USMCA negotiators to create a level playing field, citing Ford’s leading US vehicle production vs. GM and Toyota imports. USMCA renegotiation (proposed 82% regional content, 50% US-specific floor) remains an active policy risk.</w:t>
      </w:r>
    </w:p>
    <w:p>
      <w:pPr>
        <w:pStyle w:val="ListBullet"/>
        <w:ind w:left="360" w:hanging="360"/>
      </w:pPr>
      <w:r>
        <w:rPr>
          <w:rFonts w:ascii="Calibri" w:hAnsi="Calibri"/>
          <w:b/>
          <w:color w:val="525866"/>
          <w:sz w:val="22"/>
        </w:rPr>
        <w:t xml:space="preserve">July 6, 2026 — Micron Semiconductor Supply Agreement: </w:t>
      </w:r>
      <w:r>
        <w:rPr>
          <w:rFonts w:ascii="Calibri" w:hAnsi="Calibri"/>
          <w:color w:val="525866"/>
          <w:sz w:val="22"/>
        </w:rPr>
        <w:t>Ford and Micron signed a long-term agreement to secure semiconductor supply for next-generation vehicles, following a similar GM deal. Reduces supply chain vulnerability for the UEV platform launch.</w:t>
      </w:r>
    </w:p>
    <w:p>
      <w:pPr>
        <w:pStyle w:val="ListBullet"/>
        <w:ind w:left="360" w:hanging="360"/>
      </w:pPr>
      <w:r>
        <w:rPr>
          <w:rFonts w:ascii="Calibri" w:hAnsi="Calibri"/>
          <w:b/>
          <w:color w:val="525866"/>
          <w:sz w:val="22"/>
        </w:rPr>
        <w:t xml:space="preserve">July 23, 2026 — Geely Joint Venture (Valencia, Spain): </w:t>
      </w:r>
      <w:r>
        <w:rPr>
          <w:rFonts w:ascii="Calibri" w:hAnsi="Calibri"/>
          <w:color w:val="525866"/>
          <w:sz w:val="22"/>
        </w:rPr>
        <w:t xml:space="preserve">Ford (66%) and Geely (34%) announced a JV to produce Geely-brand electric SUVs at Ford’s Valencia plant (currently at 26% capacity) starting 2028, plus jointly develop a crossover SUV. Pragmatic move to monetize excess capacity and reduce fixed cost exposure in Europe. </w:t>
      </w:r>
    </w:p>
    <w:p>
      <w:pPr>
        <w:pStyle w:val="ListBullet"/>
        <w:ind w:left="360" w:hanging="360"/>
      </w:pPr>
      <w:r>
        <w:rPr>
          <w:rFonts w:ascii="Calibri" w:hAnsi="Calibri"/>
          <w:b/>
          <w:color w:val="525866"/>
          <w:sz w:val="22"/>
        </w:rPr>
        <w:t xml:space="preserve">July 23, 2026 — Apple Maps Integration for Self-Driving System: </w:t>
      </w:r>
      <w:r>
        <w:rPr>
          <w:rFonts w:ascii="Calibri" w:hAnsi="Calibri"/>
          <w:color w:val="525866"/>
          <w:sz w:val="22"/>
        </w:rPr>
        <w:t>Ford announced it will use Apple Maps in its new self-driving system, signaling a partnership with Apple on ADAS/autonomy. Implication: reduces Ford’s in-house mapping investment burden.</w:t>
      </w:r>
    </w:p>
    <w:p>
      <w:pPr>
        <w:pStyle w:val="ListBullet"/>
        <w:ind w:left="360" w:hanging="360"/>
      </w:pPr>
      <w:r>
        <w:rPr>
          <w:rFonts w:ascii="Calibri" w:hAnsi="Calibri"/>
          <w:b/>
          <w:color w:val="525866"/>
          <w:sz w:val="22"/>
        </w:rPr>
        <w:t xml:space="preserve">July 27, 2026 — US Army Tactical Truck Bid + Jefferies Upgrade to Buy: </w:t>
      </w:r>
      <w:r>
        <w:rPr>
          <w:rFonts w:ascii="Calibri" w:hAnsi="Calibri"/>
          <w:color w:val="525866"/>
          <w:sz w:val="22"/>
        </w:rPr>
        <w:t>Ford entered the competition to build the US Army’s new tactical truck (joining GM). Jefferies upgraded F to Buy from Hold on the same day. Wall Street estimates defense could add hundreds of millions in operating profit if successful.</w:t>
      </w:r>
    </w:p>
    <w:p>
      <w:r>
        <w:br w:type="page"/>
      </w:r>
    </w:p>
    <w:p>
      <w:pPr>
        <w:pStyle w:val="Heading2"/>
      </w:pPr>
      <w:r>
        <w:rPr>
          <w:rFonts w:ascii="Calibri" w:hAnsi="Calibri"/>
          <w:b/>
          <w:color w:val="3B4259"/>
          <w:sz w:val="28"/>
        </w:rPr>
        <w:t>7. Peer Commentaries — Q2 2026 Read-Throughs</w:t>
      </w:r>
    </w:p>
    <w:p>
      <w:r>
        <w:rPr>
          <w:rFonts w:ascii="Calibri" w:hAnsi="Calibri"/>
          <w:b/>
          <w:color w:val="525866"/>
          <w:sz w:val="22"/>
        </w:rPr>
        <w:t xml:space="preserve">Key Takeaway: </w:t>
      </w:r>
      <w:r>
        <w:rPr>
          <w:rFonts w:ascii="Calibri" w:hAnsi="Calibri"/>
          <w:color w:val="525866"/>
          <w:sz w:val="22"/>
        </w:rPr>
        <w:t>GM’s blowout Q2 (EBIT +$900M YoY, guidance raised again) confirms the North American truck/SUV demand environment is healthy and pricing is holding — a direct positive read-through for Ford Pro and Ford Blue; TSLA’s record Q2 deliveries signal strong consumer EV demand recovery that could benefit Ford Model e; STLA’s Q1 commentary on Ram’s 20% US sales growth and robust truck order books reinforces the favorable commercial vehicle backdrop.</w:t>
      </w:r>
    </w:p>
    <w:p>
      <w:pPr>
        <w:pStyle w:val="Heading3"/>
      </w:pPr>
      <w:r>
        <w:rPr>
          <w:rFonts w:ascii="Calibri" w:hAnsi="Calibri"/>
          <w:b/>
          <w:color w:val="3B4259"/>
          <w:sz w:val="24"/>
        </w:rPr>
        <w:t>GM — Q2 2026 Earnings (Reported July 21, 2026) — STRONG POSITIVE READ-THROUGH</w:t>
      </w:r>
    </w:p>
    <w:p>
      <w:r>
        <w:rPr>
          <w:rFonts w:ascii="Calibri" w:hAnsi="Calibri"/>
          <w:b/>
          <w:color w:val="525866"/>
          <w:sz w:val="22"/>
        </w:rPr>
        <w:t xml:space="preserve">Relevance: </w:t>
      </w:r>
      <w:r>
        <w:rPr>
          <w:rFonts w:ascii="Calibri" w:hAnsi="Calibri"/>
          <w:color w:val="525866"/>
          <w:sz w:val="22"/>
        </w:rPr>
        <w:t>GM is Ford’s closest direct competitor in full-size trucks and commercial vehicles. GM’s Q2 results are the single most important peer read-through for Ford’s Q2 print.</w:t>
      </w:r>
    </w:p>
    <w:p>
      <w:pPr>
        <w:pStyle w:val="ListBullet"/>
        <w:ind w:left="360" w:hanging="360"/>
      </w:pPr>
      <w:r>
        <w:rPr>
          <w:rFonts w:ascii="Calibri" w:hAnsi="Calibri"/>
          <w:b/>
          <w:color w:val="525866"/>
          <w:sz w:val="22"/>
        </w:rPr>
        <w:t>North America EBIT margin reached 8.6%</w:t>
      </w:r>
      <w:r>
        <w:rPr>
          <w:rFonts w:ascii="Calibri" w:hAnsi="Calibri"/>
          <w:color w:val="525866"/>
          <w:sz w:val="22"/>
        </w:rPr>
        <w:t>, up 2.5 points YoY — a direct signal that the North American auto market is generating strong profitability despite tariff headwinds. Ford Pro targets similar margin levels; GM’s achievement validates the path.</w:t>
      </w:r>
    </w:p>
    <w:p>
      <w:pPr>
        <w:pStyle w:val="ListBullet"/>
        <w:ind w:left="360" w:hanging="360"/>
      </w:pPr>
      <w:r>
        <w:rPr>
          <w:rFonts w:ascii="Calibri" w:hAnsi="Calibri"/>
          <w:b/>
          <w:color w:val="525866"/>
          <w:sz w:val="22"/>
        </w:rPr>
        <w:t>Full-size pickup market share &gt;42%</w:t>
      </w:r>
      <w:r>
        <w:rPr>
          <w:rFonts w:ascii="Calibri" w:hAnsi="Calibri"/>
          <w:color w:val="525866"/>
          <w:sz w:val="22"/>
        </w:rPr>
        <w:t xml:space="preserve"> through H1 2026, "more than ten percentage points above our closest competitor" (i.e., Ford). While GM is gaining share, the commentary confirms the full-size truck segment remains highly profitable and demand is robust — Ford’s F-Series franchise benefits from the same tailwind.</w:t>
      </w:r>
    </w:p>
    <w:p>
      <w:pPr>
        <w:pStyle w:val="ListBullet"/>
        <w:ind w:left="360" w:hanging="360"/>
      </w:pPr>
      <w:r>
        <w:rPr>
          <w:rFonts w:ascii="Calibri" w:hAnsi="Calibri"/>
          <w:b/>
          <w:color w:val="525866"/>
          <w:sz w:val="22"/>
        </w:rPr>
        <w:t xml:space="preserve">Pricing held firm: </w:t>
      </w:r>
      <w:r>
        <w:rPr>
          <w:rFonts w:ascii="Calibri" w:hAnsi="Calibri"/>
          <w:color w:val="525866"/>
          <w:sz w:val="22"/>
        </w:rPr>
        <w:t>GM’s US incentive spend ran 1.5–2 points below industry average for 3+ years; North America pricing now expected up ~0.5% for FY 2026 (high end of prior guidance). This is a positive read-through for Ford’s F-Series pricing discipline and Ford Blue margin.</w:t>
      </w:r>
    </w:p>
    <w:p>
      <w:pPr>
        <w:pStyle w:val="ListBullet"/>
        <w:ind w:left="360" w:hanging="360"/>
      </w:pPr>
      <w:r>
        <w:rPr>
          <w:rFonts w:ascii="Calibri" w:hAnsi="Calibri"/>
          <w:b/>
          <w:color w:val="525866"/>
          <w:sz w:val="22"/>
        </w:rPr>
        <w:t xml:space="preserve">Fleet demand at record levels: </w:t>
      </w:r>
      <w:r>
        <w:rPr>
          <w:rFonts w:ascii="Calibri" w:hAnsi="Calibri"/>
          <w:color w:val="525866"/>
          <w:sz w:val="22"/>
        </w:rPr>
        <w:t>GM reported its best first-half fleet performance in 5+ years, including record full-size pickup fleet deliveries. Ford Pro’s commercial fleet business should benefit from the same demand environment.</w:t>
      </w:r>
    </w:p>
    <w:p>
      <w:pPr>
        <w:pStyle w:val="ListBullet"/>
        <w:ind w:left="360" w:hanging="360"/>
      </w:pPr>
      <w:r>
        <w:rPr>
          <w:rFonts w:ascii="Calibri" w:hAnsi="Calibri"/>
          <w:b/>
          <w:color w:val="525866"/>
          <w:sz w:val="22"/>
        </w:rPr>
        <w:t>Commodity headwinds $1.5–$2.0B for FY 2026</w:t>
      </w:r>
      <w:r>
        <w:rPr>
          <w:rFonts w:ascii="Calibri" w:hAnsi="Calibri"/>
          <w:color w:val="525866"/>
          <w:sz w:val="22"/>
        </w:rPr>
        <w:t xml:space="preserve"> (similar to Ford’s ~$2B guided headwind), with the impact building in H2. Confirms Ford’s commodity guidance is industry-consistent, not company-specific.</w:t>
      </w:r>
    </w:p>
    <w:p>
      <w:pPr>
        <w:pStyle w:val="ListBullet"/>
        <w:ind w:left="360" w:hanging="360"/>
      </w:pPr>
      <w:r>
        <w:rPr>
          <w:rFonts w:ascii="Calibri" w:hAnsi="Calibri"/>
          <w:b/>
          <w:color w:val="525866"/>
          <w:sz w:val="22"/>
        </w:rPr>
        <w:t>EV losses improving $1.0–$1.5B YoY</w:t>
      </w:r>
      <w:r>
        <w:rPr>
          <w:rFonts w:ascii="Calibri" w:hAnsi="Calibri"/>
          <w:color w:val="525866"/>
          <w:sz w:val="22"/>
        </w:rPr>
        <w:t xml:space="preserve"> for FY 2026. Directionally consistent with Ford Model e’s guided improvement trajectory. GM’s $2.3B in incremental EV restructuring charges in Q2 signals the industry is aggressively rightsizing EV capacity.</w:t>
      </w:r>
    </w:p>
    <w:p>
      <w:pPr>
        <w:pStyle w:val="ListBullet"/>
        <w:ind w:left="360" w:hanging="360"/>
      </w:pPr>
      <w:r>
        <w:rPr>
          <w:rFonts w:ascii="Calibri" w:hAnsi="Calibri"/>
          <w:b/>
          <w:color w:val="525866"/>
          <w:sz w:val="22"/>
        </w:rPr>
        <w:t>US SAAR guided at low-16M units</w:t>
      </w:r>
      <w:r>
        <w:rPr>
          <w:rFonts w:ascii="Calibri" w:hAnsi="Calibri"/>
          <w:color w:val="525866"/>
          <w:sz w:val="22"/>
        </w:rPr>
        <w:t xml:space="preserve"> for FY 2026 — exactly in line with Ford’s 16.0–16.5M assumption. Industry demand backdrop is stable.</w:t>
      </w:r>
    </w:p>
    <w:p>
      <w:pPr>
        <w:pStyle w:val="ListBullet"/>
        <w:ind w:left="360" w:hanging="360"/>
      </w:pPr>
      <w:r>
        <w:rPr>
          <w:rFonts w:ascii="Calibri" w:hAnsi="Calibri"/>
          <w:b/>
          <w:color w:val="525866"/>
          <w:sz w:val="22"/>
        </w:rPr>
        <w:t>Warranty improvements tracking $1.0–$1.5B YoY benefit</w:t>
      </w:r>
      <w:r>
        <w:rPr>
          <w:rFonts w:ascii="Calibri" w:hAnsi="Calibri"/>
          <w:color w:val="525866"/>
          <w:sz w:val="22"/>
        </w:rPr>
        <w:t xml:space="preserve"> (vs. Ford’s $1B target). Both companies are on similar cost improvement trajectories, validating Ford’s warranty cost reduction guidance.</w:t>
      </w:r>
    </w:p>
    <w:p>
      <w:r>
        <w:rPr>
          <w:rFonts w:ascii="Calibri" w:hAnsi="Calibri"/>
          <w:b/>
          <w:color w:val="525866"/>
          <w:sz w:val="22"/>
        </w:rPr>
        <w:t xml:space="preserve">Bottom line: </w:t>
      </w:r>
      <w:r>
        <w:rPr>
          <w:rFonts w:ascii="Calibri" w:hAnsi="Calibri"/>
          <w:color w:val="525866"/>
          <w:sz w:val="22"/>
        </w:rPr>
        <w:t>GM’s Q2 is a strong positive read-through for Ford’s core North American business. The truck/SUV demand environment, pricing discipline, and warranty improvement trajectory all align with Ford’s guidance. The key difference is Ford’s Novelis-related production headwind in H1 (which GM did not face), meaning Ford’s Q2 volume will look weaker than GM’s on a YoY basis — but this is already known and priced in.</w:t>
      </w:r>
    </w:p>
    <w:p>
      <w:pPr>
        <w:pStyle w:val="Heading3"/>
      </w:pPr>
      <w:r>
        <w:rPr>
          <w:rFonts w:ascii="Calibri" w:hAnsi="Calibri"/>
          <w:b/>
          <w:color w:val="3B4259"/>
          <w:sz w:val="24"/>
        </w:rPr>
        <w:t>Tesla (TSLA) — Q2 2026 Earnings (Reported July 22, 2026) — MIXED READ-THROUGH</w:t>
      </w:r>
    </w:p>
    <w:p>
      <w:r>
        <w:rPr>
          <w:rFonts w:ascii="Calibri" w:hAnsi="Calibri"/>
          <w:b/>
          <w:color w:val="525866"/>
          <w:sz w:val="22"/>
        </w:rPr>
        <w:t xml:space="preserve">Relevance: </w:t>
      </w:r>
      <w:r>
        <w:rPr>
          <w:rFonts w:ascii="Calibri" w:hAnsi="Calibri"/>
          <w:color w:val="525866"/>
          <w:sz w:val="22"/>
        </w:rPr>
        <w:t>TSLA’s Q2 results provide read-through on EV demand trends, energy storage market dynamics (directly relevant to Ford Energy), and the competitive pricing environment for EVs.</w:t>
      </w:r>
    </w:p>
    <w:p>
      <w:pPr>
        <w:pStyle w:val="ListBullet"/>
        <w:ind w:left="360" w:hanging="360"/>
      </w:pPr>
      <w:r>
        <w:rPr>
          <w:rFonts w:ascii="Calibri" w:hAnsi="Calibri"/>
          <w:b/>
          <w:color w:val="525866"/>
          <w:sz w:val="22"/>
        </w:rPr>
        <w:t>Record Q2 deliveries globally</w:t>
      </w:r>
      <w:r>
        <w:rPr>
          <w:rFonts w:ascii="Calibri" w:hAnsi="Calibri"/>
          <w:color w:val="525866"/>
          <w:sz w:val="22"/>
        </w:rPr>
        <w:t xml:space="preserve"> with sequential growth of 60% in Americas, 27% in APAC, 12% in EMEA, and the largest order backlog since 2023. This signals a strong recovery in consumer EV demand — a positive read-through for Ford Model e, which has been managing supply to demand.</w:t>
      </w:r>
    </w:p>
    <w:p>
      <w:pPr>
        <w:pStyle w:val="ListBullet"/>
        <w:ind w:left="360" w:hanging="360"/>
      </w:pPr>
      <w:r>
        <w:rPr>
          <w:rFonts w:ascii="Calibri" w:hAnsi="Calibri"/>
          <w:b/>
          <w:color w:val="525866"/>
          <w:sz w:val="22"/>
        </w:rPr>
        <w:t>Automotive gross margins (ex-credits) declined from 19.2% to 16.3%</w:t>
      </w:r>
      <w:r>
        <w:rPr>
          <w:rFonts w:ascii="Calibri" w:hAnsi="Calibri"/>
          <w:color w:val="525866"/>
          <w:sz w:val="22"/>
        </w:rPr>
        <w:t xml:space="preserve"> sequentially, partly due to non-recurrence of $230M in Q1 warranty true-downs and tariff relief. The underlying margin (controlling for Q1 benefits) was approximately flat — suggesting effective pricing and cost management in the EV segment.</w:t>
      </w:r>
    </w:p>
    <w:p>
      <w:pPr>
        <w:pStyle w:val="ListBullet"/>
        <w:ind w:left="360" w:hanging="360"/>
      </w:pPr>
      <w:r>
        <w:rPr>
          <w:rFonts w:ascii="Calibri" w:hAnsi="Calibri"/>
          <w:b/>
          <w:color w:val="525866"/>
          <w:sz w:val="22"/>
        </w:rPr>
        <w:t>Energy storage deployed 13.5 GWh (+53% sequentially)</w:t>
      </w:r>
      <w:r>
        <w:rPr>
          <w:rFonts w:ascii="Calibri" w:hAnsi="Calibri"/>
          <w:color w:val="525866"/>
          <w:sz w:val="22"/>
        </w:rPr>
        <w:t xml:space="preserve">, but energy gross margins fell sharply from 39.5% to 20.4% due to a $240M warranty true-up on legacy deployments, non-recurrence of $200M+ in Q1 tariff benefits, and declining ASPs for industrial storage amid growing competition. Long-term, Tesla guided energy margins to normalize in the "mid-to-low 20%" range. </w:t>
      </w:r>
    </w:p>
    <w:p>
      <w:pPr>
        <w:pStyle w:val="ListBullet"/>
        <w:ind w:left="360" w:hanging="360"/>
      </w:pPr>
      <w:r>
        <w:rPr>
          <w:rFonts w:ascii="Calibri" w:hAnsi="Calibri"/>
          <w:b/>
          <w:color w:val="525866"/>
          <w:sz w:val="22"/>
        </w:rPr>
        <w:t xml:space="preserve">Ford Energy implication: </w:t>
      </w:r>
      <w:r>
        <w:rPr>
          <w:rFonts w:ascii="Calibri" w:hAnsi="Calibri"/>
          <w:color w:val="525866"/>
          <w:sz w:val="22"/>
        </w:rPr>
        <w:t>Tesla’s energy margin compression is a cautionary data point for Ford Energy’s long-term margin assumptions. However, Ford Energy is targeting a different customer mix (AI data centers, utilities) and is earlier in its ramp, so near-term comparisons are limited.</w:t>
      </w:r>
    </w:p>
    <w:p>
      <w:pPr>
        <w:pStyle w:val="ListBullet"/>
        <w:ind w:left="360" w:hanging="360"/>
      </w:pPr>
      <w:r>
        <w:rPr>
          <w:rFonts w:ascii="Calibri" w:hAnsi="Calibri"/>
          <w:b/>
          <w:color w:val="525866"/>
          <w:sz w:val="22"/>
        </w:rPr>
        <w:t>Tariff benefits did not repeat in Q2</w:t>
      </w:r>
      <w:r>
        <w:rPr>
          <w:rFonts w:ascii="Calibri" w:hAnsi="Calibri"/>
          <w:color w:val="525866"/>
          <w:sz w:val="22"/>
        </w:rPr>
        <w:t xml:space="preserve"> (both automotive and energy segments recognized $200M+ in Q1 tariff relief that did not recur). This is consistent with Ford’s Q1 IEEPA benefit non-recurrence and validates the industry-wide pattern.</w:t>
      </w:r>
    </w:p>
    <w:p>
      <w:pPr>
        <w:pStyle w:val="ListBullet"/>
        <w:ind w:left="360" w:hanging="360"/>
      </w:pPr>
      <w:r>
        <w:rPr>
          <w:rFonts w:ascii="Calibri" w:hAnsi="Calibri"/>
          <w:b/>
          <w:color w:val="525866"/>
          <w:sz w:val="22"/>
        </w:rPr>
        <w:t>FSD attach rate ~55% of North America Q2 deliveries</w:t>
      </w:r>
      <w:r>
        <w:rPr>
          <w:rFonts w:ascii="Calibri" w:hAnsi="Calibri"/>
          <w:color w:val="525866"/>
          <w:sz w:val="22"/>
        </w:rPr>
        <w:t xml:space="preserve"> — software monetization is accelerating. Read-through for Ford Pro’s paid software subscription growth (900K+) as a value driver.</w:t>
      </w:r>
    </w:p>
    <w:p>
      <w:r>
        <w:rPr>
          <w:rFonts w:ascii="Calibri" w:hAnsi="Calibri"/>
          <w:b/>
          <w:color w:val="525866"/>
          <w:sz w:val="22"/>
        </w:rPr>
        <w:t xml:space="preserve">Bottom line: </w:t>
      </w:r>
      <w:r>
        <w:rPr>
          <w:rFonts w:ascii="Calibri" w:hAnsi="Calibri"/>
          <w:color w:val="525866"/>
          <w:sz w:val="22"/>
        </w:rPr>
        <w:t>TSLA’s record deliveries are a positive signal for EV demand recovery that could benefit Ford Model e in H2. The energy margin compression is worth monitoring for Ford Energy’s long-term margin profile, but is not a near-term concern given Ford Energy’s 2028 revenue ramp timeline.</w:t>
      </w:r>
    </w:p>
    <w:p>
      <w:pPr>
        <w:pStyle w:val="Heading3"/>
      </w:pPr>
      <w:r>
        <w:rPr>
          <w:rFonts w:ascii="Calibri" w:hAnsi="Calibri"/>
          <w:b/>
          <w:color w:val="3B4259"/>
          <w:sz w:val="24"/>
        </w:rPr>
        <w:t>Stellantis (STLA) — Q1 2026 Earnings (April 30, 2026) &amp; Investor Day (May 21, 2026) — POSITIVE READ-THROUGH ON TRUCKS</w:t>
      </w:r>
    </w:p>
    <w:p>
      <w:r>
        <w:rPr>
          <w:rFonts w:ascii="Calibri" w:hAnsi="Calibri"/>
          <w:b/>
          <w:color w:val="525866"/>
          <w:sz w:val="22"/>
        </w:rPr>
        <w:t xml:space="preserve">Relevance: </w:t>
      </w:r>
      <w:r>
        <w:rPr>
          <w:rFonts w:ascii="Calibri" w:hAnsi="Calibri"/>
          <w:color w:val="525866"/>
          <w:sz w:val="22"/>
        </w:rPr>
        <w:t>Stellantis’s Ram brand competes directly with Ford’s F-Series and Maverick. STLA’s Q1 commentary (the most recent available, covering the current reporting quarter environment) and Investor Day provide read-through on North American truck demand, pricing, and the commercial vehicle market.</w:t>
      </w:r>
    </w:p>
    <w:p>
      <w:pPr>
        <w:pStyle w:val="ListBullet"/>
        <w:ind w:left="360" w:hanging="360"/>
      </w:pPr>
      <w:r>
        <w:rPr>
          <w:rFonts w:ascii="Calibri" w:hAnsi="Calibri"/>
          <w:b/>
          <w:color w:val="525866"/>
          <w:sz w:val="22"/>
        </w:rPr>
        <w:t>Ram posted 20% US sales growth YoY in Q1 2026</w:t>
      </w:r>
      <w:r>
        <w:rPr>
          <w:rFonts w:ascii="Calibri" w:hAnsi="Calibri"/>
          <w:color w:val="525866"/>
          <w:sz w:val="22"/>
        </w:rPr>
        <w:t>, its best Q1 since 2023, making it the "fastest-growing brand in the North American industry." This confirms robust truck demand — a positive backdrop for Ford’s F-Series, which maintained its #1 position with 357,801 units through June.</w:t>
      </w:r>
    </w:p>
    <w:p>
      <w:pPr>
        <w:pStyle w:val="ListBullet"/>
        <w:ind w:left="360" w:hanging="360"/>
      </w:pPr>
      <w:r>
        <w:rPr>
          <w:rFonts w:ascii="Calibri" w:hAnsi="Calibri"/>
          <w:b/>
          <w:color w:val="525866"/>
          <w:sz w:val="22"/>
        </w:rPr>
        <w:t>Hemi V8 engine attach rate ~40% of Ram pickup deliveries</w:t>
      </w:r>
      <w:r>
        <w:rPr>
          <w:rFonts w:ascii="Calibri" w:hAnsi="Calibri"/>
          <w:color w:val="525866"/>
          <w:sz w:val="22"/>
        </w:rPr>
        <w:t xml:space="preserve"> in Q1, with orders "accelerating." This signals consumers are trading up to higher-margin trims — consistent with Ford’s observation that off-road performance trims now account for nearly 25% of US sales.</w:t>
      </w:r>
    </w:p>
    <w:p>
      <w:pPr>
        <w:pStyle w:val="ListBullet"/>
        <w:ind w:left="360" w:hanging="360"/>
      </w:pPr>
      <w:r>
        <w:rPr>
          <w:rFonts w:ascii="Calibri" w:hAnsi="Calibri"/>
          <w:b/>
          <w:color w:val="525866"/>
          <w:sz w:val="22"/>
        </w:rPr>
        <w:t>North America pricing contributed EUR 200M positive YoY in Q1</w:t>
      </w:r>
      <w:r>
        <w:rPr>
          <w:rFonts w:ascii="Calibri" w:hAnsi="Calibri"/>
          <w:color w:val="525866"/>
          <w:sz w:val="22"/>
        </w:rPr>
        <w:t>, with Stellantis maintaining price discipline for the rest of 2026. Validates Ford’s pricing environment commentary.</w:t>
      </w:r>
    </w:p>
    <w:p>
      <w:pPr>
        <w:pStyle w:val="ListBullet"/>
        <w:ind w:left="360" w:hanging="360"/>
      </w:pPr>
      <w:r>
        <w:rPr>
          <w:rFonts w:ascii="Calibri" w:hAnsi="Calibri"/>
          <w:b/>
          <w:color w:val="525866"/>
          <w:sz w:val="22"/>
        </w:rPr>
        <w:t>Hybrid demand is the "fastest growing" powertrain in the US market</w:t>
      </w:r>
      <w:r>
        <w:rPr>
          <w:rFonts w:ascii="Calibri" w:hAnsi="Calibri"/>
          <w:color w:val="525866"/>
          <w:sz w:val="22"/>
        </w:rPr>
        <w:t xml:space="preserve"> per STLA. Ford’s Maverick Hybrid set a Q2 record (29,457 units, +19.3% YoY) and F-150 Hybrid remains America’s best-selling full-size hybrid pickup — Ford is well-positioned to capture this trend.</w:t>
      </w:r>
    </w:p>
    <w:p>
      <w:pPr>
        <w:pStyle w:val="ListBullet"/>
        <w:ind w:left="360" w:hanging="360"/>
      </w:pPr>
      <w:r>
        <w:rPr>
          <w:rFonts w:ascii="Calibri" w:hAnsi="Calibri"/>
          <w:b/>
          <w:color w:val="525866"/>
          <w:sz w:val="22"/>
        </w:rPr>
        <w:t>Novelis aluminum disruption: STLA contained impact to "0 production" loss</w:t>
      </w:r>
      <w:r>
        <w:rPr>
          <w:rFonts w:ascii="Calibri" w:hAnsi="Calibri"/>
          <w:color w:val="525866"/>
          <w:sz w:val="22"/>
        </w:rPr>
        <w:t xml:space="preserve"> in North America. Ford, by contrast, bore the brunt of the Novelis disruption given its heavier aluminum-intensive F-Series production. This explains Ford’s Q2 volume headwind vs. peers.</w:t>
      </w:r>
    </w:p>
    <w:p>
      <w:pPr>
        <w:pStyle w:val="ListBullet"/>
        <w:ind w:left="360" w:hanging="360"/>
      </w:pPr>
      <w:r>
        <w:rPr>
          <w:rFonts w:ascii="Calibri" w:hAnsi="Calibri"/>
          <w:b/>
          <w:color w:val="525866"/>
          <w:sz w:val="22"/>
        </w:rPr>
        <w:t>IEEPA tariff adjustment of ~EUR 400M recognized in Q1</w:t>
      </w:r>
      <w:r>
        <w:rPr>
          <w:rFonts w:ascii="Calibri" w:hAnsi="Calibri"/>
          <w:color w:val="525866"/>
          <w:sz w:val="22"/>
        </w:rPr>
        <w:t xml:space="preserve"> (one-time), consistent with Ford’s $1.3B IEEPA benefit. Both companies flagged this as non-recurring.</w:t>
      </w:r>
    </w:p>
    <w:p>
      <w:pPr>
        <w:pStyle w:val="ListBullet"/>
        <w:ind w:left="360" w:hanging="360"/>
      </w:pPr>
      <w:r>
        <w:rPr>
          <w:rFonts w:ascii="Calibri" w:hAnsi="Calibri"/>
          <w:b/>
          <w:color w:val="525866"/>
          <w:sz w:val="22"/>
        </w:rPr>
        <w:t>Stellantis Investor Day (May 21): Ram targeting ~1M units and #2 truck position by 2030</w:t>
      </w:r>
      <w:r>
        <w:rPr>
          <w:rFonts w:ascii="Calibri" w:hAnsi="Calibri"/>
          <w:color w:val="525866"/>
          <w:sz w:val="22"/>
        </w:rPr>
        <w:t>, with new light-duty, heavy-duty, and range-extended trucks planned. Intensifying competition in the truck segment is a medium-term risk for Ford’s F-Series market share.</w:t>
      </w:r>
    </w:p>
    <w:p>
      <w:pPr>
        <w:pStyle w:val="ListBullet"/>
        <w:ind w:left="360" w:hanging="360"/>
      </w:pPr>
      <w:r>
        <w:rPr>
          <w:rFonts w:ascii="Calibri" w:hAnsi="Calibri"/>
          <w:b/>
          <w:color w:val="525866"/>
          <w:sz w:val="22"/>
        </w:rPr>
        <w:t>Full-size truck segment = ~16% of industry sales but ~40% of profits</w:t>
      </w:r>
      <w:r>
        <w:rPr>
          <w:rFonts w:ascii="Calibri" w:hAnsi="Calibri"/>
          <w:color w:val="525866"/>
          <w:sz w:val="22"/>
        </w:rPr>
        <w:t xml:space="preserve"> (per STLA Investor Day). Validates why Ford’s F-Series franchise is the core of its earnings power and why Ford Pro’s commercial truck dominance (40.4% Class 1-7 share) is so valuable.</w:t>
      </w:r>
    </w:p>
    <w:p>
      <w:r>
        <w:rPr>
          <w:rFonts w:ascii="Calibri" w:hAnsi="Calibri"/>
          <w:b/>
          <w:color w:val="525866"/>
          <w:sz w:val="22"/>
        </w:rPr>
        <w:t xml:space="preserve">Bottom line: </w:t>
      </w:r>
      <w:r>
        <w:rPr>
          <w:rFonts w:ascii="Calibri" w:hAnsi="Calibri"/>
          <w:color w:val="525866"/>
          <w:sz w:val="22"/>
        </w:rPr>
        <w:t>STLA’s commentary is broadly positive for the North American truck market environment heading into Ford’s Q2 print. The key risk is that Ram’s aggressive growth ambitions (targeting #2 by 2030) represent a medium-term competitive threat to Ford’s truck franchise, though this is a 2027+ concern rather than a Q2 issue.</w:t>
      </w:r>
    </w:p>
    <w:p>
      <w:pPr>
        <w:pStyle w:val="Heading3"/>
      </w:pPr>
      <w:r>
        <w:rPr>
          <w:rFonts w:ascii="Calibri" w:hAnsi="Calibri"/>
          <w:b/>
          <w:color w:val="3B4259"/>
          <w:sz w:val="24"/>
        </w:rPr>
        <w:t>Honda (HMC) &amp; Toyota (TM) — FY2026 Earnings (May 2026) — MACRO CONTEXT</w:t>
      </w:r>
    </w:p>
    <w:p>
      <w:pPr>
        <w:pStyle w:val="ListBullet"/>
        <w:ind w:left="360" w:hanging="360"/>
      </w:pPr>
      <w:r>
        <w:rPr>
          <w:rFonts w:ascii="Calibri" w:hAnsi="Calibri"/>
          <w:b/>
          <w:color w:val="525866"/>
          <w:sz w:val="22"/>
        </w:rPr>
        <w:t>Honda recorded JPY 1.58T in EV-related losses for FY ended March 2026</w:t>
      </w:r>
      <w:r>
        <w:rPr>
          <w:rFonts w:ascii="Calibri" w:hAnsi="Calibri"/>
          <w:color w:val="525866"/>
          <w:sz w:val="22"/>
        </w:rPr>
        <w:t xml:space="preserve"> and canceled North America-produced EV models. This validates Ford’s more cautious, capital-disciplined approach to EV investment and suggests the industry is broadly rightsizing EV ambitions.</w:t>
      </w:r>
    </w:p>
    <w:p>
      <w:pPr>
        <w:pStyle w:val="ListBullet"/>
        <w:ind w:left="360" w:hanging="360"/>
      </w:pPr>
      <w:r>
        <w:rPr>
          <w:rFonts w:ascii="Calibri" w:hAnsi="Calibri"/>
          <w:b/>
          <w:color w:val="525866"/>
          <w:sz w:val="22"/>
        </w:rPr>
        <w:t>Toyota flagged JPY 1.38T in US tariff impact for FY2026</w:t>
      </w:r>
      <w:r>
        <w:rPr>
          <w:rFonts w:ascii="Calibri" w:hAnsi="Calibri"/>
          <w:color w:val="525866"/>
          <w:sz w:val="22"/>
        </w:rPr>
        <w:t xml:space="preserve"> and is pursuing "local production, local procurement" to mitigate. Ford’s higher US production content gives it a structural tariff advantage vs. Japanese OEMs — a competitive differentiator CEO Farley has highlighted in USMCA negotiations.</w:t>
      </w:r>
    </w:p>
    <w:p>
      <w:pPr>
        <w:pStyle w:val="ListBullet"/>
        <w:ind w:left="360" w:hanging="360"/>
      </w:pPr>
      <w:r>
        <w:rPr>
          <w:rFonts w:ascii="Calibri" w:hAnsi="Calibri"/>
          <w:b/>
          <w:color w:val="525866"/>
          <w:sz w:val="22"/>
        </w:rPr>
        <w:t>Toyota: "US market remains healthy"</w:t>
      </w:r>
      <w:r>
        <w:rPr>
          <w:rFonts w:ascii="Calibri" w:hAnsi="Calibri"/>
          <w:color w:val="525866"/>
          <w:sz w:val="22"/>
        </w:rPr>
        <w:t xml:space="preserve"> with "low inventory situation" and customers continuing to wait. Consistent with Ford’s 55–65 day retail supply target and healthy demand backdrop.</w:t>
      </w:r>
    </w:p>
    <w:p>
      <w:pPr>
        <w:pStyle w:val="ListBullet"/>
        <w:ind w:left="360" w:hanging="360"/>
      </w:pPr>
      <w:r>
        <w:rPr>
          <w:rFonts w:ascii="Calibri" w:hAnsi="Calibri"/>
          <w:b/>
          <w:color w:val="525866"/>
          <w:sz w:val="22"/>
        </w:rPr>
        <w:t>Both Honda and Toyota cited rising material/commodity costs and Middle East geopolitical risk</w:t>
      </w:r>
      <w:r>
        <w:rPr>
          <w:rFonts w:ascii="Calibri" w:hAnsi="Calibri"/>
          <w:color w:val="525866"/>
          <w:sz w:val="22"/>
        </w:rPr>
        <w:t xml:space="preserve"> as key headwinds — consistent with Ford’s ~$2B commodity headwind guidance for FY 2026.</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Only one open-market transaction was recorded in the last 60 days — a discretionary open-market purchase by Director John L. Thornton on June 23, 2026 — a modestly positive signal, though the size ($~$140K) is not large enough to be a strong conviction indicator.</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Est. Value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Thornton, John L.</w:t>
            </w:r>
          </w:p>
        </w:tc>
        <w:tc>
          <w:tcPr>
            <w:tcW w:type="dxa" w:w="1234"/>
          </w:tcPr>
          <w:p>
            <w:r>
              <w:rPr>
                <w:rFonts w:ascii="Calibri" w:hAnsi="Calibri"/>
                <w:sz w:val="22"/>
              </w:rPr>
              <w:t>Director</w:t>
            </w:r>
          </w:p>
        </w:tc>
        <w:tc>
          <w:tcPr>
            <w:tcW w:type="dxa" w:w="1234"/>
          </w:tcPr>
          <w:p>
            <w:r>
              <w:rPr>
                <w:rFonts w:ascii="Calibri" w:hAnsi="Calibri"/>
                <w:b/>
                <w:color w:val="30A46C"/>
                <w:sz w:val="22"/>
              </w:rPr>
              <w:t>Open Market Buy</w:t>
            </w:r>
          </w:p>
        </w:tc>
        <w:tc>
          <w:tcPr>
            <w:tcW w:type="dxa" w:w="1234"/>
          </w:tcPr>
          <w:p>
            <w:r>
              <w:rPr>
                <w:rFonts w:ascii="Calibri" w:hAnsi="Calibri"/>
                <w:sz w:val="22"/>
              </w:rPr>
              <w:t>10,600</w:t>
            </w:r>
          </w:p>
        </w:tc>
        <w:tc>
          <w:tcPr>
            <w:tcW w:type="dxa" w:w="1234"/>
          </w:tcPr>
          <w:p>
            <w:r>
              <w:rPr>
                <w:rFonts w:ascii="Calibri" w:hAnsi="Calibri"/>
                <w:sz w:val="22"/>
              </w:rPr>
              <w:t>~$140K (est. at ~$13.20/share)</w:t>
            </w:r>
          </w:p>
        </w:tc>
        <w:tc>
          <w:tcPr>
            <w:tcW w:type="dxa" w:w="1234"/>
          </w:tcPr>
          <w:p>
            <w:r>
              <w:rPr>
                <w:rFonts w:ascii="Calibri" w:hAnsi="Calibri"/>
                <w:sz w:val="22"/>
              </w:rPr>
              <w:t>June 23, 2026</w:t>
            </w:r>
          </w:p>
        </w:tc>
        <w:tc>
          <w:tcPr>
            <w:tcW w:type="dxa" w:w="1234"/>
          </w:tcPr>
          <w:p>
            <w:r>
              <w:rPr>
                <w:rFonts w:ascii="Calibri" w:hAnsi="Calibri"/>
                <w:sz w:val="22"/>
              </w:rPr>
              <w:t>Discretionary open-market purchase; no 10b5-1 plan. Director now holds 486,685 shares. Purchase made during stock pullback from May highs.</w:t>
            </w:r>
          </w:p>
        </w:tc>
      </w:tr>
    </w:tbl>
    <w:p>
      <w:r>
        <w:rPr>
          <w:rFonts w:ascii="Calibri" w:hAnsi="Calibri"/>
          <w:i/>
          <w:color w:val="525866"/>
          <w:sz w:val="22"/>
        </w:rPr>
        <w:t>Source: SEC Form 4 Filings Database (Insider Transaction Data). Window: May 28 – July 28, 2026 (last 60 days). Only open-market buys (code P) and sells (code S) included. No open-market sales were recorded in the period.</w:t>
      </w:r>
    </w:p>
    <w:p>
      <w:r>
        <w:rPr>
          <w:rFonts w:ascii="Calibri" w:hAnsi="Calibri"/>
          <w:color w:val="525866"/>
          <w:sz w:val="22"/>
        </w:rPr>
        <w:t>The absence of insider selling during the stock’s 20%+ post-earnings rally is notable — insiders did not use the elevated price to reduce exposure. Director Thornton’s purchase during the June pullback (stock was ~$13.20–$14.00 at the time) is a modest positive signal. Overall, insider activity is quiet and not a strong directional indicator heading into Q2 earnings.</w:t>
      </w:r>
    </w:p>
    <w:p>
      <w:pPr>
        <w:pStyle w:val="Heading2"/>
      </w:pPr>
      <w:r>
        <w:rPr>
          <w:rFonts w:ascii="Calibri" w:hAnsi="Calibri"/>
          <w:b/>
          <w:color w:val="3B4259"/>
          <w:sz w:val="28"/>
        </w:rPr>
        <w:t>Disclosures &amp; Data Sources</w:t>
      </w:r>
    </w:p>
    <w:p>
      <w:pPr>
        <w:pStyle w:val="ListBullet"/>
        <w:ind w:left="360" w:hanging="360"/>
      </w:pPr>
      <w:r>
        <w:rPr>
          <w:rFonts w:ascii="Calibri" w:hAnsi="Calibri"/>
          <w:b/>
          <w:color w:val="525866"/>
          <w:sz w:val="22"/>
        </w:rPr>
        <w:t>Visible Alpha Consensus and Actuals Data</w:t>
      </w:r>
      <w:r>
        <w:rPr>
          <w:rFonts w:ascii="Calibri" w:hAnsi="Calibri"/>
          <w:color w:val="525866"/>
          <w:sz w:val="22"/>
        </w:rPr>
        <w:t xml:space="preserve"> — KPI consensus estimates, actuals, and revision history for F (Q2 2024 – FY 2026).</w:t>
      </w:r>
    </w:p>
    <w:p>
      <w:pPr>
        <w:pStyle w:val="ListBullet"/>
        <w:ind w:left="360" w:hanging="360"/>
      </w:pPr>
      <w:r>
        <w:rPr>
          <w:rFonts w:ascii="Calibri" w:hAnsi="Calibri"/>
          <w:b/>
          <w:color w:val="525866"/>
          <w:sz w:val="22"/>
        </w:rPr>
        <w:t>Ford Motor Company Q1 2026 Earnings Call Transcript</w:t>
      </w:r>
      <w:r>
        <w:rPr>
          <w:rFonts w:ascii="Calibri" w:hAnsi="Calibri"/>
          <w:color w:val="525866"/>
          <w:sz w:val="22"/>
        </w:rPr>
        <w:t xml:space="preserve"> (April 29, 2026) — guidance, segment commentary, and management tone.</w:t>
      </w:r>
    </w:p>
    <w:p>
      <w:pPr>
        <w:pStyle w:val="ListBullet"/>
        <w:ind w:left="360" w:hanging="360"/>
      </w:pPr>
      <w:r>
        <w:rPr>
          <w:rFonts w:ascii="Calibri" w:hAnsi="Calibri"/>
          <w:b/>
          <w:color w:val="525866"/>
          <w:sz w:val="22"/>
        </w:rPr>
        <w:t>Ford Motor Company Q2 2026 US Sales Release (8-K)</w:t>
      </w:r>
      <w:r>
        <w:rPr>
          <w:rFonts w:ascii="Calibri" w:hAnsi="Calibri"/>
          <w:color w:val="525866"/>
          <w:sz w:val="22"/>
        </w:rPr>
        <w:t xml:space="preserve"> (July 2, 2026) — Q2 unit sales, F-Series data, Ford Pro subscription metrics.</w:t>
      </w:r>
    </w:p>
    <w:p>
      <w:pPr>
        <w:pStyle w:val="ListBullet"/>
        <w:ind w:left="360" w:hanging="360"/>
      </w:pPr>
      <w:r>
        <w:rPr>
          <w:rFonts w:ascii="Calibri" w:hAnsi="Calibri"/>
          <w:b/>
          <w:color w:val="525866"/>
          <w:sz w:val="22"/>
        </w:rPr>
        <w:t>GM Q2 2026 Earnings Call Transcript</w:t>
      </w:r>
      <w:r>
        <w:rPr>
          <w:rFonts w:ascii="Calibri" w:hAnsi="Calibri"/>
          <w:color w:val="525866"/>
          <w:sz w:val="22"/>
        </w:rPr>
        <w:t xml:space="preserve"> (July 21, 2026) — peer read-through on North American truck market, pricing, and EV losses.</w:t>
      </w:r>
    </w:p>
    <w:p>
      <w:pPr>
        <w:pStyle w:val="ListBullet"/>
        <w:ind w:left="360" w:hanging="360"/>
      </w:pPr>
      <w:r>
        <w:rPr>
          <w:rFonts w:ascii="Calibri" w:hAnsi="Calibri"/>
          <w:b/>
          <w:color w:val="525866"/>
          <w:sz w:val="22"/>
        </w:rPr>
        <w:t>Tesla Q2 2026 Earnings Call Transcript</w:t>
      </w:r>
      <w:r>
        <w:rPr>
          <w:rFonts w:ascii="Calibri" w:hAnsi="Calibri"/>
          <w:color w:val="525866"/>
          <w:sz w:val="22"/>
        </w:rPr>
        <w:t xml:space="preserve"> (July 22, 2026) — peer read-through on EV demand and energy storage market.</w:t>
      </w:r>
    </w:p>
    <w:p>
      <w:pPr>
        <w:pStyle w:val="ListBullet"/>
        <w:ind w:left="360" w:hanging="360"/>
      </w:pPr>
      <w:r>
        <w:rPr>
          <w:rFonts w:ascii="Calibri" w:hAnsi="Calibri"/>
          <w:b/>
          <w:color w:val="525866"/>
          <w:sz w:val="22"/>
        </w:rPr>
        <w:t>Stellantis Q1 2026 Earnings Call Transcript</w:t>
      </w:r>
      <w:r>
        <w:rPr>
          <w:rFonts w:ascii="Calibri" w:hAnsi="Calibri"/>
          <w:color w:val="525866"/>
          <w:sz w:val="22"/>
        </w:rPr>
        <w:t xml:space="preserve"> (April 30, 2026) and Investor Day (May 21, 2026) — peer read-through on Ram truck demand and North American pricing.</w:t>
      </w:r>
    </w:p>
    <w:p>
      <w:pPr>
        <w:pStyle w:val="ListBullet"/>
        <w:ind w:left="360" w:hanging="360"/>
      </w:pPr>
      <w:r>
        <w:rPr>
          <w:rFonts w:ascii="Calibri" w:hAnsi="Calibri"/>
          <w:b/>
          <w:color w:val="525866"/>
          <w:sz w:val="22"/>
        </w:rPr>
        <w:t>Honda FY2026 Earnings Call Transcript</w:t>
      </w:r>
      <w:r>
        <w:rPr>
          <w:rFonts w:ascii="Calibri" w:hAnsi="Calibri"/>
          <w:color w:val="525866"/>
          <w:sz w:val="22"/>
        </w:rPr>
        <w:t xml:space="preserve"> (May 14, 2026) and Toyota FY2026 Earnings Call Transcript (May 8, 2026) — macro context on tariffs and EV market.</w:t>
      </w:r>
    </w:p>
    <w:p>
      <w:pPr>
        <w:pStyle w:val="ListBullet"/>
        <w:ind w:left="360" w:hanging="360"/>
      </w:pPr>
      <w:r>
        <w:rPr>
          <w:rFonts w:ascii="Calibri" w:hAnsi="Calibri"/>
          <w:b/>
          <w:color w:val="525866"/>
          <w:sz w:val="22"/>
        </w:rPr>
        <w:t>SEC Form 4 Filings Database</w:t>
      </w:r>
      <w:r>
        <w:rPr>
          <w:rFonts w:ascii="Calibri" w:hAnsi="Calibri"/>
          <w:color w:val="525866"/>
          <w:sz w:val="22"/>
        </w:rPr>
        <w:t xml:space="preserve"> — Insider transaction data.</w:t>
      </w:r>
    </w:p>
    <w:p>
      <w:pPr>
        <w:pStyle w:val="ListBullet"/>
        <w:ind w:left="360" w:hanging="360"/>
      </w:pPr>
      <w:r>
        <w:rPr>
          <w:rFonts w:ascii="Calibri" w:hAnsi="Calibri"/>
          <w:b/>
          <w:color w:val="525866"/>
          <w:sz w:val="22"/>
        </w:rPr>
        <w:t>Yahoo Finance / Stock Price Data</w:t>
      </w:r>
      <w:r>
        <w:rPr>
          <w:rFonts w:ascii="Calibri" w:hAnsi="Calibri"/>
          <w:color w:val="525866"/>
          <w:sz w:val="22"/>
        </w:rPr>
        <w:t xml:space="preserve"> — Daily closing prices for F, XLY, and SPY since April 28, 2026.</w:t>
      </w:r>
    </w:p>
    <w:p>
      <w:pPr>
        <w:pStyle w:val="ListBullet"/>
        <w:ind w:left="360" w:hanging="360"/>
      </w:pPr>
      <w:r>
        <w:rPr>
          <w:rFonts w:ascii="Calibri" w:hAnsi="Calibri"/>
          <w:b/>
          <w:color w:val="525866"/>
          <w:sz w:val="22"/>
        </w:rPr>
        <w:t>Public news sources</w:t>
      </w:r>
      <w:r>
        <w:rPr>
          <w:rFonts w:ascii="Calibri" w:hAnsi="Calibri"/>
          <w:color w:val="525866"/>
          <w:sz w:val="22"/>
        </w:rPr>
        <w:t xml:space="preserve"> (WSJ, Reuters, Bloomberg, Barron’s, CNBC) — Material news and developments.</w:t>
      </w:r>
    </w:p>
    <w:p>
      <w:pPr>
        <w:pStyle w:val="ListBullet"/>
        <w:ind w:left="360" w:hanging="360"/>
      </w:pPr>
      <w:r>
        <w:rPr>
          <w:rFonts w:ascii="Calibri" w:hAnsi="Calibri"/>
          <w:i/>
          <w:color w:val="525866"/>
          <w:sz w:val="22"/>
        </w:rPr>
        <w:t>This document is prepared for informational purposes only and does not constitute investment advice. All consensus estimates are as of July 28, 2026 and subject to change.</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