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Ford Motor Company (F)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Ford Motor Company</w:t>
            </w:r>
          </w:p>
        </w:tc>
      </w:tr>
      <w:tr>
        <w:tc>
          <w:tcPr>
            <w:tcW w:type="dxa" w:w="4320"/>
          </w:tcPr>
          <w:p>
            <w:r>
              <w:rPr>
                <w:rFonts w:ascii="Calibri" w:hAnsi="Calibri"/>
                <w:b/>
                <w:sz w:val="22"/>
              </w:rPr>
              <w:t>Ticker</w:t>
            </w:r>
          </w:p>
        </w:tc>
        <w:tc>
          <w:tcPr>
            <w:tcW w:type="dxa" w:w="4320"/>
          </w:tcPr>
          <w:p>
            <w:r>
              <w:rPr>
                <w:rFonts w:ascii="Calibri" w:hAnsi="Calibri"/>
                <w:sz w:val="22"/>
              </w:rPr>
              <w:t>F (NYSE)</w:t>
            </w:r>
          </w:p>
        </w:tc>
      </w:tr>
      <w:tr>
        <w:tc>
          <w:tcPr>
            <w:tcW w:type="dxa" w:w="4320"/>
          </w:tcPr>
          <w:p>
            <w:r>
              <w:rPr>
                <w:rFonts w:ascii="Calibri" w:hAnsi="Calibri"/>
                <w:b/>
                <w:sz w:val="22"/>
              </w:rPr>
              <w:t>Reporting Period</w:t>
            </w:r>
          </w:p>
        </w:tc>
        <w:tc>
          <w:tcPr>
            <w:tcW w:type="dxa" w:w="4320"/>
          </w:tcPr>
          <w:p>
            <w:r>
              <w:rPr>
                <w:rFonts w:ascii="Calibri" w:hAnsi="Calibri"/>
                <w:sz w:val="22"/>
              </w:rPr>
              <w:t>Q2 2026 (quarter ended June 30, 2026)</w:t>
            </w:r>
          </w:p>
        </w:tc>
      </w:tr>
      <w:tr>
        <w:tc>
          <w:tcPr>
            <w:tcW w:type="dxa" w:w="4320"/>
          </w:tcPr>
          <w:p>
            <w:r>
              <w:rPr>
                <w:rFonts w:ascii="Calibri" w:hAnsi="Calibri"/>
                <w:b/>
                <w:sz w:val="22"/>
              </w:rPr>
              <w:t>Earnings Date</w:t>
            </w:r>
          </w:p>
        </w:tc>
        <w:tc>
          <w:tcPr>
            <w:tcW w:type="dxa" w:w="4320"/>
          </w:tcPr>
          <w:p>
            <w:r>
              <w:rPr>
                <w:rFonts w:ascii="Calibri" w:hAnsi="Calibri"/>
                <w:sz w:val="22"/>
              </w:rPr>
              <w:t>July 28, 2026 — results at 4:05 PM ET; call at 5:00 PM ET</w:t>
            </w:r>
          </w:p>
        </w:tc>
      </w:tr>
      <w:tr>
        <w:tc>
          <w:tcPr>
            <w:tcW w:type="dxa" w:w="4320"/>
          </w:tcPr>
          <w:p>
            <w:r>
              <w:rPr>
                <w:rFonts w:ascii="Calibri" w:hAnsi="Calibri"/>
                <w:b/>
                <w:sz w:val="22"/>
              </w:rPr>
              <w:t>Prepared</w:t>
            </w:r>
          </w:p>
        </w:tc>
        <w:tc>
          <w:tcPr>
            <w:tcW w:type="dxa" w:w="4320"/>
          </w:tcPr>
          <w:p>
            <w:r>
              <w:rPr>
                <w:rFonts w:ascii="Calibri" w:hAnsi="Calibri"/>
                <w:sz w:val="22"/>
              </w:rPr>
              <w:t>July 28, 2026</w:t>
            </w:r>
          </w:p>
        </w:tc>
      </w:tr>
      <w:tr>
        <w:tc>
          <w:tcPr>
            <w:tcW w:type="dxa" w:w="4320"/>
          </w:tcPr>
          <w:p>
            <w:r>
              <w:rPr>
                <w:rFonts w:ascii="Calibri" w:hAnsi="Calibri"/>
                <w:b/>
                <w:sz w:val="22"/>
              </w:rPr>
              <w:t>Last Earnings</w:t>
            </w:r>
          </w:p>
        </w:tc>
        <w:tc>
          <w:tcPr>
            <w:tcW w:type="dxa" w:w="4320"/>
          </w:tcPr>
          <w:p>
            <w:r>
              <w:rPr>
                <w:rFonts w:ascii="Calibri" w:hAnsi="Calibri"/>
                <w:sz w:val="22"/>
              </w:rPr>
              <w:t>April 29, 2026 (Q1 2026)</w:t>
            </w:r>
          </w:p>
        </w:tc>
      </w:tr>
    </w:tbl>
    <w:p>
      <w:r>
        <w:br w:type="page"/>
      </w:r>
    </w:p>
    <w:p>
      <w:pPr>
        <w:pStyle w:val="Heading1"/>
        <w:pBdr>
          <w:bottom w:val="single" w:sz="4" w:space="1" w:color="FB9120"/>
        </w:pBdr>
      </w:pPr>
      <w:r>
        <w:rPr>
          <w:rFonts w:ascii="Calibri" w:hAnsi="Calibri"/>
          <w:b/>
          <w:color w:val="3B4259"/>
          <w:sz w:val="40"/>
        </w:rPr>
        <w:t>1. Earnings Preview</w:t>
      </w:r>
    </w:p>
    <w:p>
      <w:r>
        <w:rPr>
          <w:rFonts w:ascii="Calibri" w:hAnsi="Calibri"/>
          <w:b/>
          <w:color w:val="525866"/>
          <w:sz w:val="22"/>
        </w:rPr>
        <w:t xml:space="preserve">Key Takeaway: </w:t>
      </w:r>
      <w:r>
        <w:rPr>
          <w:rFonts w:ascii="Calibri" w:hAnsi="Calibri"/>
          <w:color w:val="525866"/>
          <w:sz w:val="22"/>
        </w:rPr>
        <w:t xml:space="preserve">The setup is mixed-to-cautiously-constructive — consensus is a manageable bar after Q1’s IEEPA-inflated beat, but the </w:t>
      </w:r>
      <w:r>
        <w:rPr>
          <w:rFonts w:ascii="Calibri" w:hAnsi="Calibri"/>
          <w:b/>
          <w:color w:val="525866"/>
          <w:sz w:val="22"/>
        </w:rPr>
        <w:t>single biggest swing factor is whether Ford Pro EBIT holds up</w:t>
      </w:r>
      <w:r>
        <w:rPr>
          <w:rFonts w:ascii="Calibri" w:hAnsi="Calibri"/>
          <w:color w:val="525866"/>
          <w:sz w:val="22"/>
        </w:rPr>
        <w:t xml:space="preserve"> and whether management raises or narrows full-year guidance despite accelerating H2 headwinds.</w:t>
      </w:r>
    </w:p>
    <w:p>
      <w:r>
        <w:rPr>
          <w:rFonts w:ascii="Calibri" w:hAnsi="Calibri"/>
          <w:color w:val="525866"/>
          <w:sz w:val="22"/>
        </w:rPr>
        <w:t xml:space="preserve">Ford heads into Q2 2026 earnings with a consensus Diluted Operating EPS of ~$0.35 and revenue of ~$49.6B — a bar that is intentionally modest given management’s own guidance that Q2–Q4 would run at a “fairly consistent” but materially lower pace than Q1’s $0.66 operating EPS, which was inflated by a one-time $1.3B IEEPA tariff benefit. </w:t>
      </w:r>
      <w:r>
        <w:rPr>
          <w:rFonts w:ascii="Calibri" w:hAnsi="Calibri"/>
          <w:b/>
          <w:color w:val="525866"/>
          <w:sz w:val="22"/>
        </w:rPr>
        <w:t>The key question is whether Ford Pro can sustain its ~$1.7B quarterly EBIT run-rate</w:t>
      </w:r>
      <w:r>
        <w:rPr>
          <w:rFonts w:ascii="Calibri" w:hAnsi="Calibri"/>
          <w:color w:val="525866"/>
          <w:sz w:val="22"/>
        </w:rPr>
        <w:t xml:space="preserve"> as Novelis aluminum supply ramps back toward full capacity (hot mill restart confirmed for May, full throughput targeted Q4), and whether Model e losses track within the guided $4.0–$4.5B full-year range after a better-than-expected Q1 loss of $777M. Estimate revisions have drifted modestly lower since the Q1 print — Q2 operating EPS consensus slipped from ~$0.356 to ~$0.345 — suggesting the Street has already de-risked the quarter, which creates a low-to-moderate bar. The stock has rallied ~20% since Q1 earnings (April 29) and received a same-day Jefferies upgrade to Buy with a $17.50 PT, meaning some optimism is priced in, though the NTM P/E of ~8x remains deeply discounted to the market. The wildcard is the trajectory of commodity costs (aluminum and DRAM) and any update on USMCA renegotiation, which management flagged as still fluid — a negative surprise on either could pressure the H2 guide and send the stock lower despite a clean Q2 print.</w:t>
      </w:r>
    </w:p>
    <w:p>
      <w:r>
        <w:br w:type="page"/>
      </w:r>
    </w:p>
    <w:p>
      <w:pPr>
        <w:pStyle w:val="Heading1"/>
        <w:pBdr>
          <w:bottom w:val="single" w:sz="4" w:space="1" w:color="FB9120"/>
        </w:pBdr>
      </w:pPr>
      <w:r>
        <w:rPr>
          <w:rFonts w:ascii="Calibri" w:hAnsi="Calibri"/>
          <w:b/>
          <w:color w:val="3B4259"/>
          <w:sz w:val="40"/>
        </w:rPr>
        <w:t>2. KPIs &amp; Consensus Expectations</w:t>
      </w:r>
    </w:p>
    <w:p>
      <w:r>
        <w:rPr>
          <w:rFonts w:ascii="Calibri" w:hAnsi="Calibri"/>
          <w:b/>
          <w:color w:val="525866"/>
          <w:sz w:val="22"/>
        </w:rPr>
        <w:t xml:space="preserve">Key Takeaway: </w:t>
      </w:r>
      <w:r>
        <w:rPr>
          <w:rFonts w:ascii="Calibri" w:hAnsi="Calibri"/>
          <w:color w:val="525866"/>
          <w:sz w:val="22"/>
        </w:rPr>
        <w:t xml:space="preserve">Consensus sets a low bar on EPS (~$0.35 vs. $0.66 in Q1) given the non-repeat of the IEEPA benefit; </w:t>
      </w:r>
      <w:r>
        <w:rPr>
          <w:rFonts w:ascii="Calibri" w:hAnsi="Calibri"/>
          <w:b/>
          <w:color w:val="525866"/>
          <w:sz w:val="22"/>
        </w:rPr>
        <w:t>Ford Pro EBIT is the bigger swing factor</w:t>
      </w:r>
      <w:r>
        <w:rPr>
          <w:rFonts w:ascii="Calibri" w:hAnsi="Calibri"/>
          <w:color w:val="525866"/>
          <w:sz w:val="22"/>
        </w:rPr>
        <w:t xml:space="preserve"> — any upside there or on Model e losses could drive a beat.</w:t>
      </w:r>
    </w:p>
    <w:p>
      <w:pPr>
        <w:pStyle w:val="Heading2"/>
      </w:pPr>
      <w:r>
        <w:rPr>
          <w:rFonts w:ascii="Calibri" w:hAnsi="Calibri"/>
          <w:b/>
          <w:color w:val="3B4259"/>
          <w:sz w:val="28"/>
        </w:rPr>
        <w:t>Table 1 — Current Quarter Snapshot (Q2 2026)</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FY 2026 Guidance (last call)</w:t>
            </w:r>
          </w:p>
        </w:tc>
        <w:tc>
          <w:tcPr>
            <w:tcW w:type="dxa" w:w="1234"/>
            <w:shd w:val="clear" w:color="auto" w:fill="3B4259"/>
          </w:tcPr>
          <w:p>
            <w:r>
              <w:rPr>
                <w:rFonts w:ascii="Calibri" w:hAnsi="Calibri"/>
                <w:b/>
                <w:color w:val="FFFFFF"/>
                <w:sz w:val="22"/>
              </w:rPr>
              <w:t>Consensus vs. Guidance Midpoint</w:t>
            </w:r>
          </w:p>
        </w:tc>
      </w:tr>
      <w:tr>
        <w:tc>
          <w:tcPr>
            <w:tcW w:type="dxa" w:w="1234"/>
          </w:tcPr>
          <w:p>
            <w:r>
              <w:rPr>
                <w:rFonts w:ascii="Calibri" w:hAnsi="Calibri"/>
                <w:sz w:val="22"/>
              </w:rPr>
              <w:t>Diluted Operating EPS ($)</w:t>
            </w:r>
          </w:p>
        </w:tc>
        <w:tc>
          <w:tcPr>
            <w:tcW w:type="dxa" w:w="1234"/>
          </w:tcPr>
          <w:p>
            <w:r>
              <w:rPr>
                <w:rFonts w:ascii="Calibri" w:hAnsi="Calibri"/>
                <w:sz w:val="22"/>
              </w:rPr>
              <w:t>$0.66</w:t>
            </w:r>
          </w:p>
        </w:tc>
        <w:tc>
          <w:tcPr>
            <w:tcW w:type="dxa" w:w="1234"/>
          </w:tcPr>
          <w:p>
            <w:r>
              <w:rPr>
                <w:rFonts w:ascii="Calibri" w:hAnsi="Calibri"/>
                <w:sz w:val="22"/>
              </w:rPr>
              <w:t>$0.37</w:t>
            </w:r>
          </w:p>
        </w:tc>
        <w:tc>
          <w:tcPr>
            <w:tcW w:type="dxa" w:w="1234"/>
          </w:tcPr>
          <w:p>
            <w:r>
              <w:rPr>
                <w:rFonts w:ascii="Calibri" w:hAnsi="Calibri"/>
                <w:sz w:val="22"/>
              </w:rPr>
              <w:t>$0.345</w:t>
            </w:r>
          </w:p>
        </w:tc>
        <w:tc>
          <w:tcPr>
            <w:tcW w:type="dxa" w:w="1234"/>
          </w:tcPr>
          <w:p>
            <w:r>
              <w:rPr>
                <w:rFonts w:ascii="Calibri" w:hAnsi="Calibri"/>
                <w:sz w:val="22"/>
              </w:rPr>
              <w:t>-6.8% YoY</w:t>
            </w:r>
          </w:p>
        </w:tc>
        <w:tc>
          <w:tcPr>
            <w:tcW w:type="dxa" w:w="1234"/>
          </w:tcPr>
          <w:p>
            <w:r>
              <w:rPr>
                <w:rFonts w:ascii="Calibri" w:hAnsi="Calibri"/>
                <w:sz w:val="22"/>
              </w:rPr>
              <w:t>FY: $1.65 cons. (no per-Q guide)</w:t>
            </w:r>
          </w:p>
        </w:tc>
        <w:tc>
          <w:tcPr>
            <w:tcW w:type="dxa" w:w="1234"/>
          </w:tcPr>
          <w:p>
            <w:r>
              <w:rPr>
                <w:rFonts w:ascii="Calibri" w:hAnsi="Calibri"/>
                <w:sz w:val="22"/>
              </w:rPr>
              <w:t>N/A (no Q-level guidance)</w:t>
            </w:r>
          </w:p>
        </w:tc>
      </w:tr>
      <w:tr>
        <w:tc>
          <w:tcPr>
            <w:tcW w:type="dxa" w:w="1234"/>
          </w:tcPr>
          <w:p>
            <w:r>
              <w:rPr>
                <w:rFonts w:ascii="Calibri" w:hAnsi="Calibri"/>
                <w:sz w:val="22"/>
              </w:rPr>
              <w:t>Total Revenue ($B)</w:t>
            </w:r>
          </w:p>
        </w:tc>
        <w:tc>
          <w:tcPr>
            <w:tcW w:type="dxa" w:w="1234"/>
          </w:tcPr>
          <w:p>
            <w:r>
              <w:rPr>
                <w:rFonts w:ascii="Calibri" w:hAnsi="Calibri"/>
                <w:sz w:val="22"/>
              </w:rPr>
              <w:t>$43.3B</w:t>
            </w:r>
          </w:p>
        </w:tc>
        <w:tc>
          <w:tcPr>
            <w:tcW w:type="dxa" w:w="1234"/>
          </w:tcPr>
          <w:p>
            <w:r>
              <w:rPr>
                <w:rFonts w:ascii="Calibri" w:hAnsi="Calibri"/>
                <w:sz w:val="22"/>
              </w:rPr>
              <w:t>$50.2B</w:t>
            </w:r>
          </w:p>
        </w:tc>
        <w:tc>
          <w:tcPr>
            <w:tcW w:type="dxa" w:w="1234"/>
          </w:tcPr>
          <w:p>
            <w:r>
              <w:rPr>
                <w:rFonts w:ascii="Calibri" w:hAnsi="Calibri"/>
                <w:sz w:val="22"/>
              </w:rPr>
              <w:t>$49.6B</w:t>
            </w:r>
          </w:p>
        </w:tc>
        <w:tc>
          <w:tcPr>
            <w:tcW w:type="dxa" w:w="1234"/>
          </w:tcPr>
          <w:p>
            <w:r>
              <w:rPr>
                <w:rFonts w:ascii="Calibri" w:hAnsi="Calibri"/>
                <w:sz w:val="22"/>
              </w:rPr>
              <w:t>-1.2% YoY</w:t>
            </w:r>
          </w:p>
        </w:tc>
        <w:tc>
          <w:tcPr>
            <w:tcW w:type="dxa" w:w="1234"/>
          </w:tcPr>
          <w:p>
            <w:r>
              <w:rPr>
                <w:rFonts w:ascii="Calibri" w:hAnsi="Calibri"/>
                <w:sz w:val="22"/>
              </w:rPr>
              <w:t>FY: ~$193.1B cons.</w:t>
            </w:r>
          </w:p>
        </w:tc>
        <w:tc>
          <w:tcPr>
            <w:tcW w:type="dxa" w:w="1234"/>
          </w:tcPr>
          <w:p>
            <w:r>
              <w:rPr>
                <w:rFonts w:ascii="Calibri" w:hAnsi="Calibri"/>
                <w:sz w:val="22"/>
              </w:rPr>
              <w:t>N/A (no Q-level guidance)</w:t>
            </w:r>
          </w:p>
        </w:tc>
      </w:tr>
      <w:tr>
        <w:tc>
          <w:tcPr>
            <w:tcW w:type="dxa" w:w="1234"/>
          </w:tcPr>
          <w:p>
            <w:r>
              <w:rPr>
                <w:rFonts w:ascii="Calibri" w:hAnsi="Calibri"/>
                <w:sz w:val="22"/>
              </w:rPr>
              <w:t>Ford Pro EBIT ($B)</w:t>
            </w:r>
          </w:p>
        </w:tc>
        <w:tc>
          <w:tcPr>
            <w:tcW w:type="dxa" w:w="1234"/>
          </w:tcPr>
          <w:p>
            <w:r>
              <w:rPr>
                <w:rFonts w:ascii="Calibri" w:hAnsi="Calibri"/>
                <w:sz w:val="22"/>
              </w:rPr>
              <w:t>$1.685B</w:t>
            </w:r>
          </w:p>
        </w:tc>
        <w:tc>
          <w:tcPr>
            <w:tcW w:type="dxa" w:w="1234"/>
          </w:tcPr>
          <w:p>
            <w:r>
              <w:rPr>
                <w:rFonts w:ascii="Calibri" w:hAnsi="Calibri"/>
                <w:sz w:val="22"/>
              </w:rPr>
              <w:t>$2.318B</w:t>
            </w:r>
          </w:p>
        </w:tc>
        <w:tc>
          <w:tcPr>
            <w:tcW w:type="dxa" w:w="1234"/>
          </w:tcPr>
          <w:p>
            <w:r>
              <w:rPr>
                <w:rFonts w:ascii="Calibri" w:hAnsi="Calibri"/>
                <w:sz w:val="22"/>
              </w:rPr>
              <w:t>$1.907B</w:t>
            </w:r>
          </w:p>
        </w:tc>
        <w:tc>
          <w:tcPr>
            <w:tcW w:type="dxa" w:w="1234"/>
          </w:tcPr>
          <w:p>
            <w:r>
              <w:rPr>
                <w:rFonts w:ascii="Calibri" w:hAnsi="Calibri"/>
                <w:sz w:val="22"/>
              </w:rPr>
              <w:t>-17.7% YoY</w:t>
            </w:r>
          </w:p>
        </w:tc>
        <w:tc>
          <w:tcPr>
            <w:tcW w:type="dxa" w:w="1234"/>
          </w:tcPr>
          <w:p>
            <w:r>
              <w:rPr>
                <w:rFonts w:ascii="Calibri" w:hAnsi="Calibri"/>
                <w:sz w:val="22"/>
              </w:rPr>
              <w:t>$6.5B–$7.5B (FY)</w:t>
            </w:r>
          </w:p>
        </w:tc>
        <w:tc>
          <w:tcPr>
            <w:tcW w:type="dxa" w:w="1234"/>
          </w:tcPr>
          <w:p>
            <w:r>
              <w:rPr>
                <w:rFonts w:ascii="Calibri" w:hAnsi="Calibri"/>
                <w:sz w:val="22"/>
              </w:rPr>
              <w:t>FY cons. $7.08B vs. midpoint $7.0B: ~+1.1%</w:t>
            </w:r>
          </w:p>
        </w:tc>
      </w:tr>
      <w:tr>
        <w:tc>
          <w:tcPr>
            <w:tcW w:type="dxa" w:w="1234"/>
          </w:tcPr>
          <w:p>
            <w:r>
              <w:rPr>
                <w:rFonts w:ascii="Calibri" w:hAnsi="Calibri"/>
                <w:sz w:val="22"/>
              </w:rPr>
              <w:t>Ford Model e EBIT Loss ($B)</w:t>
            </w:r>
          </w:p>
        </w:tc>
        <w:tc>
          <w:tcPr>
            <w:tcW w:type="dxa" w:w="1234"/>
          </w:tcPr>
          <w:p>
            <w:r>
              <w:rPr>
                <w:rFonts w:ascii="Calibri" w:hAnsi="Calibri"/>
                <w:sz w:val="22"/>
              </w:rPr>
              <w:t>-$0.777B</w:t>
            </w:r>
          </w:p>
        </w:tc>
        <w:tc>
          <w:tcPr>
            <w:tcW w:type="dxa" w:w="1234"/>
          </w:tcPr>
          <w:p>
            <w:r>
              <w:rPr>
                <w:rFonts w:ascii="Calibri" w:hAnsi="Calibri"/>
                <w:sz w:val="22"/>
              </w:rPr>
              <w:t>-$1.329B</w:t>
            </w:r>
          </w:p>
        </w:tc>
        <w:tc>
          <w:tcPr>
            <w:tcW w:type="dxa" w:w="1234"/>
          </w:tcPr>
          <w:p>
            <w:r>
              <w:rPr>
                <w:rFonts w:ascii="Calibri" w:hAnsi="Calibri"/>
                <w:sz w:val="22"/>
              </w:rPr>
              <w:t>-$1.126B</w:t>
            </w:r>
          </w:p>
        </w:tc>
        <w:tc>
          <w:tcPr>
            <w:tcW w:type="dxa" w:w="1234"/>
          </w:tcPr>
          <w:p>
            <w:r>
              <w:rPr>
                <w:rFonts w:ascii="Calibri" w:hAnsi="Calibri"/>
                <w:sz w:val="22"/>
              </w:rPr>
              <w:t>Loss narrows ~15% YoY</w:t>
            </w:r>
          </w:p>
        </w:tc>
        <w:tc>
          <w:tcPr>
            <w:tcW w:type="dxa" w:w="1234"/>
          </w:tcPr>
          <w:p>
            <w:r>
              <w:rPr>
                <w:rFonts w:ascii="Calibri" w:hAnsi="Calibri"/>
                <w:sz w:val="22"/>
              </w:rPr>
              <w:t>-$4.0B to -$4.5B (FY)</w:t>
            </w:r>
          </w:p>
        </w:tc>
        <w:tc>
          <w:tcPr>
            <w:tcW w:type="dxa" w:w="1234"/>
          </w:tcPr>
          <w:p>
            <w:r>
              <w:rPr>
                <w:rFonts w:ascii="Calibri" w:hAnsi="Calibri"/>
                <w:sz w:val="22"/>
              </w:rPr>
              <w:t>FY cons. -$4.36B vs. midpoint -$4.25B: ~-2.5%</w:t>
            </w:r>
          </w:p>
        </w:tc>
      </w:tr>
      <w:tr>
        <w:tc>
          <w:tcPr>
            <w:tcW w:type="dxa" w:w="1234"/>
          </w:tcPr>
          <w:p>
            <w:r>
              <w:rPr>
                <w:rFonts w:ascii="Calibri" w:hAnsi="Calibri"/>
                <w:sz w:val="22"/>
              </w:rPr>
              <w:t>Adj. Free Cash Flow ($B)</w:t>
            </w:r>
          </w:p>
        </w:tc>
        <w:tc>
          <w:tcPr>
            <w:tcW w:type="dxa" w:w="1234"/>
          </w:tcPr>
          <w:p>
            <w:r>
              <w:rPr>
                <w:rFonts w:ascii="Calibri" w:hAnsi="Calibri"/>
                <w:sz w:val="22"/>
              </w:rPr>
              <w:t>-$1.9B</w:t>
            </w:r>
          </w:p>
        </w:tc>
        <w:tc>
          <w:tcPr>
            <w:tcW w:type="dxa" w:w="1234"/>
          </w:tcPr>
          <w:p>
            <w:r>
              <w:rPr>
                <w:rFonts w:ascii="Calibri" w:hAnsi="Calibri"/>
                <w:sz w:val="22"/>
              </w:rPr>
              <w:t>$2.8B</w:t>
            </w:r>
          </w:p>
        </w:tc>
        <w:tc>
          <w:tcPr>
            <w:tcW w:type="dxa" w:w="1234"/>
          </w:tcPr>
          <w:p>
            <w:r>
              <w:rPr>
                <w:rFonts w:ascii="Calibri" w:hAnsi="Calibri"/>
                <w:sz w:val="22"/>
              </w:rPr>
              <w:t>-$0.075B</w:t>
            </w:r>
          </w:p>
        </w:tc>
        <w:tc>
          <w:tcPr>
            <w:tcW w:type="dxa" w:w="1234"/>
          </w:tcPr>
          <w:p>
            <w:r>
              <w:rPr>
                <w:rFonts w:ascii="Calibri" w:hAnsi="Calibri"/>
                <w:sz w:val="22"/>
              </w:rPr>
              <w:t>N/M (seasonal swing)</w:t>
            </w:r>
          </w:p>
        </w:tc>
        <w:tc>
          <w:tcPr>
            <w:tcW w:type="dxa" w:w="1234"/>
          </w:tcPr>
          <w:p>
            <w:r>
              <w:rPr>
                <w:rFonts w:ascii="Calibri" w:hAnsi="Calibri"/>
                <w:sz w:val="22"/>
              </w:rPr>
              <w:t>$5.0B–$6.0B (FY)</w:t>
            </w:r>
          </w:p>
        </w:tc>
        <w:tc>
          <w:tcPr>
            <w:tcW w:type="dxa" w:w="1234"/>
          </w:tcPr>
          <w:p>
            <w:r>
              <w:rPr>
                <w:rFonts w:ascii="Calibri" w:hAnsi="Calibri"/>
                <w:sz w:val="22"/>
              </w:rPr>
              <w:t>FY cons. $1.46B vs. midpoint $5.5B: well below (timing)</w:t>
            </w:r>
          </w:p>
        </w:tc>
      </w:tr>
      <w:tr>
        <w:tc>
          <w:tcPr>
            <w:tcW w:type="dxa" w:w="1234"/>
          </w:tcPr>
          <w:p>
            <w:r>
              <w:rPr>
                <w:rFonts w:ascii="Calibri" w:hAnsi="Calibri"/>
                <w:sz w:val="22"/>
              </w:rPr>
              <w:t>Total Units Sold (K)</w:t>
            </w:r>
          </w:p>
        </w:tc>
        <w:tc>
          <w:tcPr>
            <w:tcW w:type="dxa" w:w="1234"/>
          </w:tcPr>
          <w:p>
            <w:r>
              <w:rPr>
                <w:rFonts w:ascii="Calibri" w:hAnsi="Calibri"/>
                <w:sz w:val="22"/>
              </w:rPr>
              <w:t>934K</w:t>
            </w:r>
          </w:p>
        </w:tc>
        <w:tc>
          <w:tcPr>
            <w:tcW w:type="dxa" w:w="1234"/>
          </w:tcPr>
          <w:p>
            <w:r>
              <w:rPr>
                <w:rFonts w:ascii="Calibri" w:hAnsi="Calibri"/>
                <w:sz w:val="22"/>
              </w:rPr>
              <w:t>1,185K</w:t>
            </w:r>
          </w:p>
        </w:tc>
        <w:tc>
          <w:tcPr>
            <w:tcW w:type="dxa" w:w="1234"/>
          </w:tcPr>
          <w:p>
            <w:r>
              <w:rPr>
                <w:rFonts w:ascii="Calibri" w:hAnsi="Calibri"/>
                <w:sz w:val="22"/>
              </w:rPr>
              <w:t>1,121K</w:t>
            </w:r>
          </w:p>
        </w:tc>
        <w:tc>
          <w:tcPr>
            <w:tcW w:type="dxa" w:w="1234"/>
          </w:tcPr>
          <w:p>
            <w:r>
              <w:rPr>
                <w:rFonts w:ascii="Calibri" w:hAnsi="Calibri"/>
                <w:sz w:val="22"/>
              </w:rPr>
              <w:t>-5.4% YoY</w:t>
            </w:r>
          </w:p>
        </w:tc>
        <w:tc>
          <w:tcPr>
            <w:tcW w:type="dxa" w:w="1234"/>
          </w:tcPr>
          <w:p>
            <w:r>
              <w:rPr>
                <w:rFonts w:ascii="Calibri" w:hAnsi="Calibri"/>
                <w:sz w:val="22"/>
              </w:rPr>
              <w:t>FY: ~4.33M cons.</w:t>
            </w:r>
          </w:p>
        </w:tc>
        <w:tc>
          <w:tcPr>
            <w:tcW w:type="dxa" w:w="1234"/>
          </w:tcPr>
          <w:p>
            <w:r>
              <w:rPr>
                <w:rFonts w:ascii="Calibri" w:hAnsi="Calibri"/>
                <w:sz w:val="22"/>
              </w:rPr>
              <w:t>N/A (no Q-level guidance)</w:t>
            </w:r>
          </w:p>
        </w:tc>
      </w:tr>
    </w:tbl>
    <w:p>
      <w:r>
        <w:rPr>
          <w:rFonts w:ascii="Calibri" w:hAnsi="Calibri"/>
          <w:i/>
          <w:color w:val="525866"/>
          <w:sz w:val="22"/>
        </w:rPr>
        <w:t>Sources: Visible Alpha Consensus and Actuals Data. All consensus figures as of July 28, 2026. Q2 2025 and Q1 2026 actuals from Visible Alpha. Ford Pro EBIT and Model e EBIT guidance from Q1 2026 earnings call (April 29, 2026). Adj. FCF FY consensus reflects full-year estimate; Q2 standalone FCF consensus is near breakeven (-$75M) vs. $2.8B in Q2 2025, reflecting Novelis ramp costs and working capital timing.</w:t>
      </w:r>
    </w:p>
    <w:p>
      <w:pPr>
        <w:pStyle w:val="Heading2"/>
      </w:pPr>
      <w:r>
        <w:rPr>
          <w:rFonts w:ascii="Calibri" w:hAnsi="Calibri"/>
          <w:b/>
          <w:color w:val="3B4259"/>
          <w:sz w:val="28"/>
        </w:rPr>
        <w:t>Table 2 — Beat/Miss History: Diluted Operating EPS (Last 8 Quarters)</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w:t>
            </w:r>
          </w:p>
        </w:tc>
        <w:tc>
          <w:tcPr>
            <w:tcW w:type="dxa" w:w="1728"/>
            <w:shd w:val="clear" w:color="auto" w:fill="3B4259"/>
          </w:tcPr>
          <w:p>
            <w:r>
              <w:rPr>
                <w:rFonts w:ascii="Calibri" w:hAnsi="Calibri"/>
                <w:b/>
                <w:color w:val="FFFFFF"/>
                <w:sz w:val="22"/>
              </w:rPr>
              <w:t>Consensus ($)</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Q1 2026</w:t>
            </w:r>
          </w:p>
        </w:tc>
        <w:tc>
          <w:tcPr>
            <w:tcW w:type="dxa" w:w="1728"/>
          </w:tcPr>
          <w:p>
            <w:r>
              <w:rPr>
                <w:rFonts w:ascii="Calibri" w:hAnsi="Calibri"/>
                <w:sz w:val="22"/>
              </w:rPr>
              <w:t>$0.66</w:t>
            </w:r>
          </w:p>
        </w:tc>
        <w:tc>
          <w:tcPr>
            <w:tcW w:type="dxa" w:w="1728"/>
          </w:tcPr>
          <w:p>
            <w:r>
              <w:rPr>
                <w:rFonts w:ascii="Calibri" w:hAnsi="Calibri"/>
                <w:sz w:val="22"/>
              </w:rPr>
              <w:t>$0.196</w:t>
            </w:r>
          </w:p>
        </w:tc>
        <w:tc>
          <w:tcPr>
            <w:tcW w:type="dxa" w:w="1728"/>
          </w:tcPr>
          <w:p>
            <w:r>
              <w:rPr>
                <w:rFonts w:ascii="Calibri" w:hAnsi="Calibri"/>
                <w:b/>
                <w:color w:val="30A46C"/>
                <w:sz w:val="22"/>
              </w:rPr>
              <w:t>+237%</w:t>
            </w:r>
          </w:p>
        </w:tc>
        <w:tc>
          <w:tcPr>
            <w:tcW w:type="dxa" w:w="1728"/>
          </w:tcPr>
          <w:p>
            <w:r>
              <w:rPr>
                <w:rFonts w:ascii="Calibri" w:hAnsi="Calibri"/>
                <w:sz w:val="22"/>
              </w:rPr>
              <w:t>Massive Beat (IEEPA benefit)</w:t>
            </w:r>
          </w:p>
        </w:tc>
      </w:tr>
      <w:tr>
        <w:tc>
          <w:tcPr>
            <w:tcW w:type="dxa" w:w="1728"/>
          </w:tcPr>
          <w:p>
            <w:r>
              <w:rPr>
                <w:rFonts w:ascii="Calibri" w:hAnsi="Calibri"/>
                <w:sz w:val="22"/>
              </w:rPr>
              <w:t>Q4 2025</w:t>
            </w:r>
          </w:p>
        </w:tc>
        <w:tc>
          <w:tcPr>
            <w:tcW w:type="dxa" w:w="1728"/>
          </w:tcPr>
          <w:p>
            <w:r>
              <w:rPr>
                <w:rFonts w:ascii="Calibri" w:hAnsi="Calibri"/>
                <w:sz w:val="22"/>
              </w:rPr>
              <w:t>$0.13</w:t>
            </w:r>
          </w:p>
        </w:tc>
        <w:tc>
          <w:tcPr>
            <w:tcW w:type="dxa" w:w="1728"/>
          </w:tcPr>
          <w:p>
            <w:r>
              <w:rPr>
                <w:rFonts w:ascii="Calibri" w:hAnsi="Calibri"/>
                <w:sz w:val="22"/>
              </w:rPr>
              <w:t>$0.183</w:t>
            </w:r>
          </w:p>
        </w:tc>
        <w:tc>
          <w:tcPr>
            <w:tcW w:type="dxa" w:w="1728"/>
          </w:tcPr>
          <w:p>
            <w:r>
              <w:rPr>
                <w:rFonts w:ascii="Calibri" w:hAnsi="Calibri"/>
                <w:b/>
                <w:color w:val="E5484D"/>
                <w:sz w:val="22"/>
              </w:rPr>
              <w:t>-29%</w:t>
            </w:r>
          </w:p>
        </w:tc>
        <w:tc>
          <w:tcPr>
            <w:tcW w:type="dxa" w:w="1728"/>
          </w:tcPr>
          <w:p>
            <w:r>
              <w:rPr>
                <w:rFonts w:ascii="Calibri" w:hAnsi="Calibri"/>
                <w:sz w:val="22"/>
              </w:rPr>
              <w:t>Miss</w:t>
            </w:r>
          </w:p>
        </w:tc>
      </w:tr>
      <w:tr>
        <w:tc>
          <w:tcPr>
            <w:tcW w:type="dxa" w:w="1728"/>
          </w:tcPr>
          <w:p>
            <w:r>
              <w:rPr>
                <w:rFonts w:ascii="Calibri" w:hAnsi="Calibri"/>
                <w:sz w:val="22"/>
              </w:rPr>
              <w:t>Q3 2025</w:t>
            </w:r>
          </w:p>
        </w:tc>
        <w:tc>
          <w:tcPr>
            <w:tcW w:type="dxa" w:w="1728"/>
          </w:tcPr>
          <w:p>
            <w:r>
              <w:rPr>
                <w:rFonts w:ascii="Calibri" w:hAnsi="Calibri"/>
                <w:sz w:val="22"/>
              </w:rPr>
              <w:t>$0.45</w:t>
            </w:r>
          </w:p>
        </w:tc>
        <w:tc>
          <w:tcPr>
            <w:tcW w:type="dxa" w:w="1728"/>
          </w:tcPr>
          <w:p>
            <w:r>
              <w:rPr>
                <w:rFonts w:ascii="Calibri" w:hAnsi="Calibri"/>
                <w:sz w:val="22"/>
              </w:rPr>
              <w:t>$0.357</w:t>
            </w:r>
          </w:p>
        </w:tc>
        <w:tc>
          <w:tcPr>
            <w:tcW w:type="dxa" w:w="1728"/>
          </w:tcPr>
          <w:p>
            <w:r>
              <w:rPr>
                <w:rFonts w:ascii="Calibri" w:hAnsi="Calibri"/>
                <w:b/>
                <w:color w:val="30A46C"/>
                <w:sz w:val="22"/>
              </w:rPr>
              <w:t>+26%</w:t>
            </w:r>
          </w:p>
        </w:tc>
        <w:tc>
          <w:tcPr>
            <w:tcW w:type="dxa" w:w="1728"/>
          </w:tcPr>
          <w:p>
            <w:r>
              <w:rPr>
                <w:rFonts w:ascii="Calibri" w:hAnsi="Calibri"/>
                <w:sz w:val="22"/>
              </w:rPr>
              <w:t>Beat</w:t>
            </w:r>
          </w:p>
        </w:tc>
      </w:tr>
      <w:tr>
        <w:tc>
          <w:tcPr>
            <w:tcW w:type="dxa" w:w="1728"/>
          </w:tcPr>
          <w:p>
            <w:r>
              <w:rPr>
                <w:rFonts w:ascii="Calibri" w:hAnsi="Calibri"/>
                <w:sz w:val="22"/>
              </w:rPr>
              <w:t>Q2 2025</w:t>
            </w:r>
          </w:p>
        </w:tc>
        <w:tc>
          <w:tcPr>
            <w:tcW w:type="dxa" w:w="1728"/>
          </w:tcPr>
          <w:p>
            <w:r>
              <w:rPr>
                <w:rFonts w:ascii="Calibri" w:hAnsi="Calibri"/>
                <w:sz w:val="22"/>
              </w:rPr>
              <w:t>$0.37</w:t>
            </w:r>
          </w:p>
        </w:tc>
        <w:tc>
          <w:tcPr>
            <w:tcW w:type="dxa" w:w="1728"/>
          </w:tcPr>
          <w:p>
            <w:r>
              <w:rPr>
                <w:rFonts w:ascii="Calibri" w:hAnsi="Calibri"/>
                <w:sz w:val="22"/>
              </w:rPr>
              <w:t>$0.313</w:t>
            </w:r>
          </w:p>
        </w:tc>
        <w:tc>
          <w:tcPr>
            <w:tcW w:type="dxa" w:w="1728"/>
          </w:tcPr>
          <w:p>
            <w:r>
              <w:rPr>
                <w:rFonts w:ascii="Calibri" w:hAnsi="Calibri"/>
                <w:b/>
                <w:color w:val="30A46C"/>
                <w:sz w:val="22"/>
              </w:rPr>
              <w:t>+18%</w:t>
            </w:r>
          </w:p>
        </w:tc>
        <w:tc>
          <w:tcPr>
            <w:tcW w:type="dxa" w:w="1728"/>
          </w:tcPr>
          <w:p>
            <w:r>
              <w:rPr>
                <w:rFonts w:ascii="Calibri" w:hAnsi="Calibri"/>
                <w:sz w:val="22"/>
              </w:rPr>
              <w:t>Beat</w:t>
            </w:r>
          </w:p>
        </w:tc>
      </w:tr>
      <w:tr>
        <w:tc>
          <w:tcPr>
            <w:tcW w:type="dxa" w:w="1728"/>
          </w:tcPr>
          <w:p>
            <w:r>
              <w:rPr>
                <w:rFonts w:ascii="Calibri" w:hAnsi="Calibri"/>
                <w:sz w:val="22"/>
              </w:rPr>
              <w:t>Q1 2025</w:t>
            </w:r>
          </w:p>
        </w:tc>
        <w:tc>
          <w:tcPr>
            <w:tcW w:type="dxa" w:w="1728"/>
          </w:tcPr>
          <w:p>
            <w:r>
              <w:rPr>
                <w:rFonts w:ascii="Calibri" w:hAnsi="Calibri"/>
                <w:sz w:val="22"/>
              </w:rPr>
              <w:t>$0.14</w:t>
            </w:r>
          </w:p>
        </w:tc>
        <w:tc>
          <w:tcPr>
            <w:tcW w:type="dxa" w:w="1728"/>
          </w:tcPr>
          <w:p>
            <w:r>
              <w:rPr>
                <w:rFonts w:ascii="Calibri" w:hAnsi="Calibri"/>
                <w:sz w:val="22"/>
              </w:rPr>
              <w:t>-$0.012</w:t>
            </w:r>
          </w:p>
        </w:tc>
        <w:tc>
          <w:tcPr>
            <w:tcW w:type="dxa" w:w="1728"/>
          </w:tcPr>
          <w:p>
            <w:r>
              <w:rPr>
                <w:rFonts w:ascii="Calibri" w:hAnsi="Calibri"/>
                <w:b/>
                <w:color w:val="30A46C"/>
                <w:sz w:val="22"/>
              </w:rPr>
              <w:t>N/M (beat loss est.)</w:t>
            </w:r>
          </w:p>
        </w:tc>
        <w:tc>
          <w:tcPr>
            <w:tcW w:type="dxa" w:w="1728"/>
          </w:tcPr>
          <w:p>
            <w:r>
              <w:rPr>
                <w:rFonts w:ascii="Calibri" w:hAnsi="Calibri"/>
                <w:sz w:val="22"/>
              </w:rPr>
              <w:t>Beat (vs. loss estimate)</w:t>
            </w:r>
          </w:p>
        </w:tc>
      </w:tr>
      <w:tr>
        <w:tc>
          <w:tcPr>
            <w:tcW w:type="dxa" w:w="1728"/>
          </w:tcPr>
          <w:p>
            <w:r>
              <w:rPr>
                <w:rFonts w:ascii="Calibri" w:hAnsi="Calibri"/>
                <w:sz w:val="22"/>
              </w:rPr>
              <w:t>Q4 2024</w:t>
            </w:r>
          </w:p>
        </w:tc>
        <w:tc>
          <w:tcPr>
            <w:tcW w:type="dxa" w:w="1728"/>
          </w:tcPr>
          <w:p>
            <w:r>
              <w:rPr>
                <w:rFonts w:ascii="Calibri" w:hAnsi="Calibri"/>
                <w:sz w:val="22"/>
              </w:rPr>
              <w:t>$0.39</w:t>
            </w:r>
          </w:p>
        </w:tc>
        <w:tc>
          <w:tcPr>
            <w:tcW w:type="dxa" w:w="1728"/>
          </w:tcPr>
          <w:p>
            <w:r>
              <w:rPr>
                <w:rFonts w:ascii="Calibri" w:hAnsi="Calibri"/>
                <w:sz w:val="22"/>
              </w:rPr>
              <w:t>$0.337</w:t>
            </w:r>
          </w:p>
        </w:tc>
        <w:tc>
          <w:tcPr>
            <w:tcW w:type="dxa" w:w="1728"/>
          </w:tcPr>
          <w:p>
            <w:r>
              <w:rPr>
                <w:rFonts w:ascii="Calibri" w:hAnsi="Calibri"/>
                <w:b/>
                <w:color w:val="30A46C"/>
                <w:sz w:val="22"/>
              </w:rPr>
              <w:t>+16%</w:t>
            </w:r>
          </w:p>
        </w:tc>
        <w:tc>
          <w:tcPr>
            <w:tcW w:type="dxa" w:w="1728"/>
          </w:tcPr>
          <w:p>
            <w:r>
              <w:rPr>
                <w:rFonts w:ascii="Calibri" w:hAnsi="Calibri"/>
                <w:sz w:val="22"/>
              </w:rPr>
              <w:t>Beat</w:t>
            </w:r>
          </w:p>
        </w:tc>
      </w:tr>
      <w:tr>
        <w:tc>
          <w:tcPr>
            <w:tcW w:type="dxa" w:w="1728"/>
          </w:tcPr>
          <w:p>
            <w:r>
              <w:rPr>
                <w:rFonts w:ascii="Calibri" w:hAnsi="Calibri"/>
                <w:sz w:val="22"/>
              </w:rPr>
              <w:t>Q3 2024</w:t>
            </w:r>
          </w:p>
        </w:tc>
        <w:tc>
          <w:tcPr>
            <w:tcW w:type="dxa" w:w="1728"/>
          </w:tcPr>
          <w:p>
            <w:r>
              <w:rPr>
                <w:rFonts w:ascii="Calibri" w:hAnsi="Calibri"/>
                <w:sz w:val="22"/>
              </w:rPr>
              <w:t>$0.49</w:t>
            </w:r>
          </w:p>
        </w:tc>
        <w:tc>
          <w:tcPr>
            <w:tcW w:type="dxa" w:w="1728"/>
          </w:tcPr>
          <w:p>
            <w:r>
              <w:rPr>
                <w:rFonts w:ascii="Calibri" w:hAnsi="Calibri"/>
                <w:sz w:val="22"/>
              </w:rPr>
              <w:t>$0.456</w:t>
            </w:r>
          </w:p>
        </w:tc>
        <w:tc>
          <w:tcPr>
            <w:tcW w:type="dxa" w:w="1728"/>
          </w:tcPr>
          <w:p>
            <w:r>
              <w:rPr>
                <w:rFonts w:ascii="Calibri" w:hAnsi="Calibri"/>
                <w:b/>
                <w:color w:val="30A46C"/>
                <w:sz w:val="22"/>
              </w:rPr>
              <w:t>+7%</w:t>
            </w:r>
          </w:p>
        </w:tc>
        <w:tc>
          <w:tcPr>
            <w:tcW w:type="dxa" w:w="1728"/>
          </w:tcPr>
          <w:p>
            <w:r>
              <w:rPr>
                <w:rFonts w:ascii="Calibri" w:hAnsi="Calibri"/>
                <w:sz w:val="22"/>
              </w:rPr>
              <w:t>Beat</w:t>
            </w:r>
          </w:p>
        </w:tc>
      </w:tr>
      <w:tr>
        <w:tc>
          <w:tcPr>
            <w:tcW w:type="dxa" w:w="1728"/>
          </w:tcPr>
          <w:p>
            <w:r>
              <w:rPr>
                <w:rFonts w:ascii="Calibri" w:hAnsi="Calibri"/>
                <w:sz w:val="22"/>
              </w:rPr>
              <w:t>Q2 2024</w:t>
            </w:r>
          </w:p>
        </w:tc>
        <w:tc>
          <w:tcPr>
            <w:tcW w:type="dxa" w:w="1728"/>
          </w:tcPr>
          <w:p>
            <w:r>
              <w:rPr>
                <w:rFonts w:ascii="Calibri" w:hAnsi="Calibri"/>
                <w:sz w:val="22"/>
              </w:rPr>
              <w:t>N/A — not in VA for this period</w:t>
            </w:r>
          </w:p>
        </w:tc>
        <w:tc>
          <w:tcPr>
            <w:tcW w:type="dxa" w:w="1728"/>
          </w:tcPr>
          <w:p>
            <w:r>
              <w:rPr>
                <w:rFonts w:ascii="Calibri" w:hAnsi="Calibri"/>
                <w:sz w:val="22"/>
              </w:rPr>
              <w:t>N/A</w:t>
            </w:r>
          </w:p>
        </w:tc>
        <w:tc>
          <w:tcPr>
            <w:tcW w:type="dxa" w:w="1728"/>
          </w:tcPr>
          <w:p>
            <w:r>
              <w:rPr>
                <w:rFonts w:ascii="Calibri" w:hAnsi="Calibri"/>
                <w:sz w:val="22"/>
              </w:rPr>
              <w:t>N/A</w:t>
            </w:r>
          </w:p>
        </w:tc>
        <w:tc>
          <w:tcPr>
            <w:tcW w:type="dxa" w:w="1728"/>
          </w:tcPr>
          <w:p>
            <w:r>
              <w:rPr>
                <w:rFonts w:ascii="Calibri" w:hAnsi="Calibri"/>
                <w:sz w:val="22"/>
              </w:rPr>
              <w:t>N/A</w:t>
            </w:r>
          </w:p>
        </w:tc>
      </w:tr>
    </w:tbl>
    <w:p>
      <w:r>
        <w:rPr>
          <w:rFonts w:ascii="Calibri" w:hAnsi="Calibri"/>
          <w:b/>
          <w:color w:val="525866"/>
          <w:sz w:val="22"/>
        </w:rPr>
        <w:t xml:space="preserve">Pattern: </w:t>
      </w:r>
      <w:r>
        <w:rPr>
          <w:rFonts w:ascii="Calibri" w:hAnsi="Calibri"/>
          <w:i/>
          <w:color w:val="525866"/>
          <w:sz w:val="22"/>
        </w:rPr>
        <w:t>Ford has beaten operating EPS consensus in 6 of the last 7 reported quarters, with the lone miss in Q4 2025 driven by Novelis-related production disruptions and elevated warranty costs. The Q1 2026 beat was extraordinary (+237%) due to the one-time $1.3B IEEPA tariff benefit — the bar for Q2 is deliberately reset lower, making a modest beat structurally achievable if Ford Pro holds and Model e losses don’t worsen. Source: Visible Alpha Consensus and Actuals Data.</w:t>
      </w:r>
    </w:p>
    <w:p>
      <w:pPr>
        <w:pStyle w:val="Heading2"/>
      </w:pPr>
      <w:r>
        <w:rPr>
          <w:rFonts w:ascii="Calibri" w:hAnsi="Calibri"/>
          <w:b/>
          <w:color w:val="3B4259"/>
          <w:sz w:val="28"/>
        </w:rPr>
        <w:t>Table 2B — Beat/Miss History: Ford Pro EBIT (Last 8 Quarters)</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($B)</w:t>
            </w:r>
          </w:p>
        </w:tc>
        <w:tc>
          <w:tcPr>
            <w:tcW w:type="dxa" w:w="1728"/>
            <w:shd w:val="clear" w:color="auto" w:fill="3B4259"/>
          </w:tcPr>
          <w:p>
            <w:r>
              <w:rPr>
                <w:rFonts w:ascii="Calibri" w:hAnsi="Calibri"/>
                <w:b/>
                <w:color w:val="FFFFFF"/>
                <w:sz w:val="22"/>
              </w:rPr>
              <w:t>Consensus ($B)</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Q1 2026</w:t>
            </w:r>
          </w:p>
        </w:tc>
        <w:tc>
          <w:tcPr>
            <w:tcW w:type="dxa" w:w="1728"/>
          </w:tcPr>
          <w:p>
            <w:r>
              <w:rPr>
                <w:rFonts w:ascii="Calibri" w:hAnsi="Calibri"/>
                <w:sz w:val="22"/>
              </w:rPr>
              <w:t>$1.685B</w:t>
            </w:r>
          </w:p>
        </w:tc>
        <w:tc>
          <w:tcPr>
            <w:tcW w:type="dxa" w:w="1728"/>
          </w:tcPr>
          <w:p>
            <w:r>
              <w:rPr>
                <w:rFonts w:ascii="Calibri" w:hAnsi="Calibri"/>
                <w:sz w:val="22"/>
              </w:rPr>
              <w:t>$1.295B</w:t>
            </w:r>
          </w:p>
        </w:tc>
        <w:tc>
          <w:tcPr>
            <w:tcW w:type="dxa" w:w="1728"/>
          </w:tcPr>
          <w:p>
            <w:r>
              <w:rPr>
                <w:rFonts w:ascii="Calibri" w:hAnsi="Calibri"/>
                <w:b/>
                <w:color w:val="30A46C"/>
                <w:sz w:val="22"/>
              </w:rPr>
              <w:t>+30%</w:t>
            </w:r>
          </w:p>
        </w:tc>
        <w:tc>
          <w:tcPr>
            <w:tcW w:type="dxa" w:w="1728"/>
          </w:tcPr>
          <w:p>
            <w:r>
              <w:rPr>
                <w:rFonts w:ascii="Calibri" w:hAnsi="Calibri"/>
                <w:sz w:val="22"/>
              </w:rPr>
              <w:t>Beat</w:t>
            </w:r>
          </w:p>
        </w:tc>
      </w:tr>
      <w:tr>
        <w:tc>
          <w:tcPr>
            <w:tcW w:type="dxa" w:w="1728"/>
          </w:tcPr>
          <w:p>
            <w:r>
              <w:rPr>
                <w:rFonts w:ascii="Calibri" w:hAnsi="Calibri"/>
                <w:sz w:val="22"/>
              </w:rPr>
              <w:t>Q4 2025</w:t>
            </w:r>
          </w:p>
        </w:tc>
        <w:tc>
          <w:tcPr>
            <w:tcW w:type="dxa" w:w="1728"/>
          </w:tcPr>
          <w:p>
            <w:r>
              <w:rPr>
                <w:rFonts w:ascii="Calibri" w:hAnsi="Calibri"/>
                <w:sz w:val="22"/>
              </w:rPr>
              <w:t>$1.231B</w:t>
            </w:r>
          </w:p>
        </w:tc>
        <w:tc>
          <w:tcPr>
            <w:tcW w:type="dxa" w:w="1728"/>
          </w:tcPr>
          <w:p>
            <w:r>
              <w:rPr>
                <w:rFonts w:ascii="Calibri" w:hAnsi="Calibri"/>
                <w:sz w:val="22"/>
              </w:rPr>
              <w:t>$1.246B</w:t>
            </w:r>
          </w:p>
        </w:tc>
        <w:tc>
          <w:tcPr>
            <w:tcW w:type="dxa" w:w="1728"/>
          </w:tcPr>
          <w:p>
            <w:r>
              <w:rPr>
                <w:rFonts w:ascii="Calibri" w:hAnsi="Calibri"/>
                <w:b/>
                <w:color w:val="E5484D"/>
                <w:sz w:val="22"/>
              </w:rPr>
              <w:t>-1%</w:t>
            </w:r>
          </w:p>
        </w:tc>
        <w:tc>
          <w:tcPr>
            <w:tcW w:type="dxa" w:w="1728"/>
          </w:tcPr>
          <w:p>
            <w:r>
              <w:rPr>
                <w:rFonts w:ascii="Calibri" w:hAnsi="Calibri"/>
                <w:sz w:val="22"/>
              </w:rPr>
              <w:t>In-line / slight miss</w:t>
            </w:r>
          </w:p>
        </w:tc>
      </w:tr>
      <w:tr>
        <w:tc>
          <w:tcPr>
            <w:tcW w:type="dxa" w:w="1728"/>
          </w:tcPr>
          <w:p>
            <w:r>
              <w:rPr>
                <w:rFonts w:ascii="Calibri" w:hAnsi="Calibri"/>
                <w:sz w:val="22"/>
              </w:rPr>
              <w:t>Q3 2025</w:t>
            </w:r>
          </w:p>
        </w:tc>
        <w:tc>
          <w:tcPr>
            <w:tcW w:type="dxa" w:w="1728"/>
          </w:tcPr>
          <w:p>
            <w:r>
              <w:rPr>
                <w:rFonts w:ascii="Calibri" w:hAnsi="Calibri"/>
                <w:sz w:val="22"/>
              </w:rPr>
              <w:t>$1.985B</w:t>
            </w:r>
          </w:p>
        </w:tc>
        <w:tc>
          <w:tcPr>
            <w:tcW w:type="dxa" w:w="1728"/>
          </w:tcPr>
          <w:p>
            <w:r>
              <w:rPr>
                <w:rFonts w:ascii="Calibri" w:hAnsi="Calibri"/>
                <w:sz w:val="22"/>
              </w:rPr>
              <w:t>$1.672B</w:t>
            </w:r>
          </w:p>
        </w:tc>
        <w:tc>
          <w:tcPr>
            <w:tcW w:type="dxa" w:w="1728"/>
          </w:tcPr>
          <w:p>
            <w:r>
              <w:rPr>
                <w:rFonts w:ascii="Calibri" w:hAnsi="Calibri"/>
                <w:b/>
                <w:color w:val="30A46C"/>
                <w:sz w:val="22"/>
              </w:rPr>
              <w:t>+19%</w:t>
            </w:r>
          </w:p>
        </w:tc>
        <w:tc>
          <w:tcPr>
            <w:tcW w:type="dxa" w:w="1728"/>
          </w:tcPr>
          <w:p>
            <w:r>
              <w:rPr>
                <w:rFonts w:ascii="Calibri" w:hAnsi="Calibri"/>
                <w:sz w:val="22"/>
              </w:rPr>
              <w:t>Beat</w:t>
            </w:r>
          </w:p>
        </w:tc>
      </w:tr>
      <w:tr>
        <w:tc>
          <w:tcPr>
            <w:tcW w:type="dxa" w:w="1728"/>
          </w:tcPr>
          <w:p>
            <w:r>
              <w:rPr>
                <w:rFonts w:ascii="Calibri" w:hAnsi="Calibri"/>
                <w:sz w:val="22"/>
              </w:rPr>
              <w:t>Q2 2025</w:t>
            </w:r>
          </w:p>
        </w:tc>
        <w:tc>
          <w:tcPr>
            <w:tcW w:type="dxa" w:w="1728"/>
          </w:tcPr>
          <w:p>
            <w:r>
              <w:rPr>
                <w:rFonts w:ascii="Calibri" w:hAnsi="Calibri"/>
                <w:sz w:val="22"/>
              </w:rPr>
              <w:t>$2.318B</w:t>
            </w:r>
          </w:p>
        </w:tc>
        <w:tc>
          <w:tcPr>
            <w:tcW w:type="dxa" w:w="1728"/>
          </w:tcPr>
          <w:p>
            <w:r>
              <w:rPr>
                <w:rFonts w:ascii="Calibri" w:hAnsi="Calibri"/>
                <w:sz w:val="22"/>
              </w:rPr>
              <w:t>$1.939B</w:t>
            </w:r>
          </w:p>
        </w:tc>
        <w:tc>
          <w:tcPr>
            <w:tcW w:type="dxa" w:w="1728"/>
          </w:tcPr>
          <w:p>
            <w:r>
              <w:rPr>
                <w:rFonts w:ascii="Calibri" w:hAnsi="Calibri"/>
                <w:b/>
                <w:color w:val="30A46C"/>
                <w:sz w:val="22"/>
              </w:rPr>
              <w:t>+20%</w:t>
            </w:r>
          </w:p>
        </w:tc>
        <w:tc>
          <w:tcPr>
            <w:tcW w:type="dxa" w:w="1728"/>
          </w:tcPr>
          <w:p>
            <w:r>
              <w:rPr>
                <w:rFonts w:ascii="Calibri" w:hAnsi="Calibri"/>
                <w:sz w:val="22"/>
              </w:rPr>
              <w:t>Beat</w:t>
            </w:r>
          </w:p>
        </w:tc>
      </w:tr>
      <w:tr>
        <w:tc>
          <w:tcPr>
            <w:tcW w:type="dxa" w:w="1728"/>
          </w:tcPr>
          <w:p>
            <w:r>
              <w:rPr>
                <w:rFonts w:ascii="Calibri" w:hAnsi="Calibri"/>
                <w:sz w:val="22"/>
              </w:rPr>
              <w:t>Q1 2025</w:t>
            </w:r>
          </w:p>
        </w:tc>
        <w:tc>
          <w:tcPr>
            <w:tcW w:type="dxa" w:w="1728"/>
          </w:tcPr>
          <w:p>
            <w:r>
              <w:rPr>
                <w:rFonts w:ascii="Calibri" w:hAnsi="Calibri"/>
                <w:sz w:val="22"/>
              </w:rPr>
              <w:t>$1.309B</w:t>
            </w:r>
          </w:p>
        </w:tc>
        <w:tc>
          <w:tcPr>
            <w:tcW w:type="dxa" w:w="1728"/>
          </w:tcPr>
          <w:p>
            <w:r>
              <w:rPr>
                <w:rFonts w:ascii="Calibri" w:hAnsi="Calibri"/>
                <w:sz w:val="22"/>
              </w:rPr>
              <w:t>$1.591B</w:t>
            </w:r>
          </w:p>
        </w:tc>
        <w:tc>
          <w:tcPr>
            <w:tcW w:type="dxa" w:w="1728"/>
          </w:tcPr>
          <w:p>
            <w:r>
              <w:rPr>
                <w:rFonts w:ascii="Calibri" w:hAnsi="Calibri"/>
                <w:b/>
                <w:color w:val="E5484D"/>
                <w:sz w:val="22"/>
              </w:rPr>
              <w:t>-18%</w:t>
            </w:r>
          </w:p>
        </w:tc>
        <w:tc>
          <w:tcPr>
            <w:tcW w:type="dxa" w:w="1728"/>
          </w:tcPr>
          <w:p>
            <w:r>
              <w:rPr>
                <w:rFonts w:ascii="Calibri" w:hAnsi="Calibri"/>
                <w:sz w:val="22"/>
              </w:rPr>
              <w:t>Miss (Novelis disruption)</w:t>
            </w:r>
          </w:p>
        </w:tc>
      </w:tr>
      <w:tr>
        <w:tc>
          <w:tcPr>
            <w:tcW w:type="dxa" w:w="1728"/>
          </w:tcPr>
          <w:p>
            <w:r>
              <w:rPr>
                <w:rFonts w:ascii="Calibri" w:hAnsi="Calibri"/>
                <w:sz w:val="22"/>
              </w:rPr>
              <w:t>Q4 2024</w:t>
            </w:r>
          </w:p>
        </w:tc>
        <w:tc>
          <w:tcPr>
            <w:tcW w:type="dxa" w:w="1728"/>
          </w:tcPr>
          <w:p>
            <w:r>
              <w:rPr>
                <w:rFonts w:ascii="Calibri" w:hAnsi="Calibri"/>
                <w:sz w:val="22"/>
              </w:rPr>
              <w:t>$1.629B</w:t>
            </w:r>
          </w:p>
        </w:tc>
        <w:tc>
          <w:tcPr>
            <w:tcW w:type="dxa" w:w="1728"/>
          </w:tcPr>
          <w:p>
            <w:r>
              <w:rPr>
                <w:rFonts w:ascii="Calibri" w:hAnsi="Calibri"/>
                <w:sz w:val="22"/>
              </w:rPr>
              <w:t>$1.698B</w:t>
            </w:r>
          </w:p>
        </w:tc>
        <w:tc>
          <w:tcPr>
            <w:tcW w:type="dxa" w:w="1728"/>
          </w:tcPr>
          <w:p>
            <w:r>
              <w:rPr>
                <w:rFonts w:ascii="Calibri" w:hAnsi="Calibri"/>
                <w:b/>
                <w:color w:val="E5484D"/>
                <w:sz w:val="22"/>
              </w:rPr>
              <w:t>-4%</w:t>
            </w:r>
          </w:p>
        </w:tc>
        <w:tc>
          <w:tcPr>
            <w:tcW w:type="dxa" w:w="1728"/>
          </w:tcPr>
          <w:p>
            <w:r>
              <w:rPr>
                <w:rFonts w:ascii="Calibri" w:hAnsi="Calibri"/>
                <w:sz w:val="22"/>
              </w:rPr>
              <w:t>Slight miss</w:t>
            </w:r>
          </w:p>
        </w:tc>
      </w:tr>
      <w:tr>
        <w:tc>
          <w:tcPr>
            <w:tcW w:type="dxa" w:w="1728"/>
          </w:tcPr>
          <w:p>
            <w:r>
              <w:rPr>
                <w:rFonts w:ascii="Calibri" w:hAnsi="Calibri"/>
                <w:sz w:val="22"/>
              </w:rPr>
              <w:t>Q3 2024</w:t>
            </w:r>
          </w:p>
        </w:tc>
        <w:tc>
          <w:tcPr>
            <w:tcW w:type="dxa" w:w="1728"/>
          </w:tcPr>
          <w:p>
            <w:r>
              <w:rPr>
                <w:rFonts w:ascii="Calibri" w:hAnsi="Calibri"/>
                <w:sz w:val="22"/>
              </w:rPr>
              <w:t>$1.813B</w:t>
            </w:r>
          </w:p>
        </w:tc>
        <w:tc>
          <w:tcPr>
            <w:tcW w:type="dxa" w:w="1728"/>
          </w:tcPr>
          <w:p>
            <w:r>
              <w:rPr>
                <w:rFonts w:ascii="Calibri" w:hAnsi="Calibri"/>
                <w:sz w:val="22"/>
              </w:rPr>
              <w:t>$1.967B</w:t>
            </w:r>
          </w:p>
        </w:tc>
        <w:tc>
          <w:tcPr>
            <w:tcW w:type="dxa" w:w="1728"/>
          </w:tcPr>
          <w:p>
            <w:r>
              <w:rPr>
                <w:rFonts w:ascii="Calibri" w:hAnsi="Calibri"/>
                <w:b/>
                <w:color w:val="E5484D"/>
                <w:sz w:val="22"/>
              </w:rPr>
              <w:t>-8%</w:t>
            </w:r>
          </w:p>
        </w:tc>
        <w:tc>
          <w:tcPr>
            <w:tcW w:type="dxa" w:w="1728"/>
          </w:tcPr>
          <w:p>
            <w:r>
              <w:rPr>
                <w:rFonts w:ascii="Calibri" w:hAnsi="Calibri"/>
                <w:sz w:val="22"/>
              </w:rPr>
              <w:t>Miss</w:t>
            </w:r>
          </w:p>
        </w:tc>
      </w:tr>
      <w:tr>
        <w:tc>
          <w:tcPr>
            <w:tcW w:type="dxa" w:w="1728"/>
          </w:tcPr>
          <w:p>
            <w:r>
              <w:rPr>
                <w:rFonts w:ascii="Calibri" w:hAnsi="Calibri"/>
                <w:sz w:val="22"/>
              </w:rPr>
              <w:t>Q2 2024</w:t>
            </w:r>
          </w:p>
        </w:tc>
        <w:tc>
          <w:tcPr>
            <w:tcW w:type="dxa" w:w="1728"/>
          </w:tcPr>
          <w:p>
            <w:r>
              <w:rPr>
                <w:rFonts w:ascii="Calibri" w:hAnsi="Calibri"/>
                <w:sz w:val="22"/>
              </w:rPr>
              <w:t>N/A — not in VA for this period</w:t>
            </w:r>
          </w:p>
        </w:tc>
        <w:tc>
          <w:tcPr>
            <w:tcW w:type="dxa" w:w="1728"/>
          </w:tcPr>
          <w:p>
            <w:r>
              <w:rPr>
                <w:rFonts w:ascii="Calibri" w:hAnsi="Calibri"/>
                <w:sz w:val="22"/>
              </w:rPr>
              <w:t>N/A</w:t>
            </w:r>
          </w:p>
        </w:tc>
        <w:tc>
          <w:tcPr>
            <w:tcW w:type="dxa" w:w="1728"/>
          </w:tcPr>
          <w:p>
            <w:r>
              <w:rPr>
                <w:rFonts w:ascii="Calibri" w:hAnsi="Calibri"/>
                <w:sz w:val="22"/>
              </w:rPr>
              <w:t>N/A</w:t>
            </w:r>
          </w:p>
        </w:tc>
        <w:tc>
          <w:tcPr>
            <w:tcW w:type="dxa" w:w="1728"/>
          </w:tcPr>
          <w:p>
            <w:r>
              <w:rPr>
                <w:rFonts w:ascii="Calibri" w:hAnsi="Calibri"/>
                <w:sz w:val="22"/>
              </w:rPr>
              <w:t>N/A</w:t>
            </w:r>
          </w:p>
        </w:tc>
      </w:tr>
    </w:tbl>
    <w:p>
      <w:r>
        <w:rPr>
          <w:rFonts w:ascii="Calibri" w:hAnsi="Calibri"/>
          <w:b/>
          <w:color w:val="525866"/>
          <w:sz w:val="22"/>
        </w:rPr>
        <w:t xml:space="preserve">Pattern: </w:t>
      </w:r>
      <w:r>
        <w:rPr>
          <w:rFonts w:ascii="Calibri" w:hAnsi="Calibri"/>
          <w:i/>
          <w:color w:val="525866"/>
          <w:sz w:val="22"/>
        </w:rPr>
        <w:t>Ford Pro has beaten consensus in 4 of the last 7 reported quarters, with misses concentrated in periods of Novelis disruption (Q1 2025) and broader cost headwinds (Q3–Q4 2024). The Q1 2026 beat (+30%) was driven by IEEPA tariff benefit allocation to Pro. Q2 2026 consensus of $1.907B implies a meaningful sequential step-up from Q1’s $1.685B — a high bar given ongoing Novelis ramp costs. Source: Visible Alpha Consensus and Actuals Data.</w:t>
      </w:r>
    </w:p>
    <w:p>
      <w:r>
        <w:br w:type="page"/>
      </w:r>
    </w:p>
    <w:p>
      <w:pPr>
        <w:pStyle w:val="Heading1"/>
        <w:pBdr>
          <w:bottom w:val="single" w:sz="4" w:space="1" w:color="FB9120"/>
        </w:pBdr>
      </w:pPr>
      <w:r>
        <w:rPr>
          <w:rFonts w:ascii="Calibri" w:hAnsi="Calibri"/>
          <w:b/>
          <w:color w:val="3B4259"/>
          <w:sz w:val="40"/>
        </w:rPr>
        <w:t>3. Guidance &amp; Commentary Evolution</w:t>
      </w:r>
    </w:p>
    <w:p>
      <w:r>
        <w:rPr>
          <w:rFonts w:ascii="Calibri" w:hAnsi="Calibri"/>
          <w:b/>
          <w:color w:val="525866"/>
          <w:sz w:val="22"/>
        </w:rPr>
        <w:t xml:space="preserve">Key Takeaway: </w:t>
      </w:r>
      <w:r>
        <w:rPr>
          <w:rFonts w:ascii="Calibri" w:hAnsi="Calibri"/>
          <w:color w:val="525866"/>
          <w:sz w:val="22"/>
        </w:rPr>
        <w:t xml:space="preserve">No formal guidance revisions have been issued since the Q1 2026 earnings call (April 29); </w:t>
      </w:r>
      <w:r>
        <w:rPr>
          <w:rFonts w:ascii="Calibri" w:hAnsi="Calibri"/>
          <w:b/>
          <w:color w:val="525866"/>
          <w:sz w:val="22"/>
        </w:rPr>
        <w:t>the full-year EBIT range of $8.5B–$10.5B remains the operative framework</w:t>
      </w:r>
      <w:r>
        <w:rPr>
          <w:rFonts w:ascii="Calibri" w:hAnsi="Calibri"/>
          <w:color w:val="525866"/>
          <w:sz w:val="22"/>
        </w:rPr>
        <w:t>, but tone has shifted incrementally positive with the Jefferies upgrade and Ford’s Geely JV announcement suggesting management confidence in the European strategy.</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Apr 29)</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FY 2026 Adj. EBIT</w:t>
            </w:r>
          </w:p>
        </w:tc>
        <w:tc>
          <w:tcPr>
            <w:tcW w:type="dxa" w:w="1728"/>
          </w:tcPr>
          <w:p>
            <w:r>
              <w:rPr>
                <w:rFonts w:ascii="Calibri" w:hAnsi="Calibri"/>
                <w:sz w:val="22"/>
              </w:rPr>
              <w:t>$8.5B – $10.5B</w:t>
            </w:r>
          </w:p>
        </w:tc>
        <w:tc>
          <w:tcPr>
            <w:tcW w:type="dxa" w:w="1728"/>
          </w:tcPr>
          <w:p>
            <w:r>
              <w:rPr>
                <w:rFonts w:ascii="Calibri" w:hAnsi="Calibri"/>
                <w:sz w:val="22"/>
              </w:rPr>
              <w:t>—</w:t>
            </w:r>
          </w:p>
        </w:tc>
        <w:tc>
          <w:tcPr>
            <w:tcW w:type="dxa" w:w="1728"/>
          </w:tcPr>
          <w:p>
            <w:r>
              <w:rPr>
                <w:rFonts w:ascii="Calibri" w:hAnsi="Calibri"/>
                <w:sz w:val="22"/>
              </w:rPr>
              <w:t>N/A — not tracked as standalone VA KPI; implied by segment sum</w:t>
            </w:r>
          </w:p>
        </w:tc>
        <w:tc>
          <w:tcPr>
            <w:tcW w:type="dxa" w:w="1728"/>
          </w:tcPr>
          <w:p>
            <w:r>
              <w:rPr>
                <w:rFonts w:ascii="Calibri" w:hAnsi="Calibri"/>
                <w:sz w:val="22"/>
              </w:rPr>
              <w:t>Raised at Q1 from prior range; no post-Q1 revision. Guidance raised $500M at Q1 vs. prior framework.</w:t>
            </w:r>
          </w:p>
        </w:tc>
      </w:tr>
      <w:tr>
        <w:tc>
          <w:tcPr>
            <w:tcW w:type="dxa" w:w="1728"/>
          </w:tcPr>
          <w:p>
            <w:r>
              <w:rPr>
                <w:rFonts w:ascii="Calibri" w:hAnsi="Calibri"/>
                <w:sz w:val="22"/>
              </w:rPr>
              <w:t>Ford Pro EBIT (FY 2026)</w:t>
            </w:r>
          </w:p>
        </w:tc>
        <w:tc>
          <w:tcPr>
            <w:tcW w:type="dxa" w:w="1728"/>
          </w:tcPr>
          <w:p>
            <w:r>
              <w:rPr>
                <w:rFonts w:ascii="Calibri" w:hAnsi="Calibri"/>
                <w:sz w:val="22"/>
              </w:rPr>
              <w:t>$6.5B – $7.5B</w:t>
            </w:r>
          </w:p>
        </w:tc>
        <w:tc>
          <w:tcPr>
            <w:tcW w:type="dxa" w:w="1728"/>
          </w:tcPr>
          <w:p>
            <w:r>
              <w:rPr>
                <w:rFonts w:ascii="Calibri" w:hAnsi="Calibri"/>
                <w:sz w:val="22"/>
              </w:rPr>
              <w:t>—</w:t>
            </w:r>
          </w:p>
        </w:tc>
        <w:tc>
          <w:tcPr>
            <w:tcW w:type="dxa" w:w="1728"/>
          </w:tcPr>
          <w:p>
            <w:r>
              <w:rPr>
                <w:rFonts w:ascii="Calibri" w:hAnsi="Calibri"/>
                <w:sz w:val="22"/>
              </w:rPr>
              <w:t>$7.08B</w:t>
            </w:r>
          </w:p>
        </w:tc>
        <w:tc>
          <w:tcPr>
            <w:tcW w:type="dxa" w:w="1728"/>
          </w:tcPr>
          <w:p>
            <w:r>
              <w:rPr>
                <w:rFonts w:ascii="Calibri" w:hAnsi="Calibri"/>
                <w:sz w:val="22"/>
              </w:rPr>
              <w:t>Unchanged since Q1 call. Consensus sits just above midpoint ($7.0B). Tone: steady confidence.</w:t>
            </w:r>
          </w:p>
        </w:tc>
      </w:tr>
      <w:tr>
        <w:tc>
          <w:tcPr>
            <w:tcW w:type="dxa" w:w="1728"/>
          </w:tcPr>
          <w:p>
            <w:r>
              <w:rPr>
                <w:rFonts w:ascii="Calibri" w:hAnsi="Calibri"/>
                <w:sz w:val="22"/>
              </w:rPr>
              <w:t>Ford Model e EBIT Loss (FY 2026)</w:t>
            </w:r>
          </w:p>
        </w:tc>
        <w:tc>
          <w:tcPr>
            <w:tcW w:type="dxa" w:w="1728"/>
          </w:tcPr>
          <w:p>
            <w:r>
              <w:rPr>
                <w:rFonts w:ascii="Calibri" w:hAnsi="Calibri"/>
                <w:sz w:val="22"/>
              </w:rPr>
              <w:t>-$4.0B to -$4.5B</w:t>
            </w:r>
          </w:p>
        </w:tc>
        <w:tc>
          <w:tcPr>
            <w:tcW w:type="dxa" w:w="1728"/>
          </w:tcPr>
          <w:p>
            <w:r>
              <w:rPr>
                <w:rFonts w:ascii="Calibri" w:hAnsi="Calibri"/>
                <w:sz w:val="22"/>
              </w:rPr>
              <w:t>—</w:t>
            </w:r>
          </w:p>
        </w:tc>
        <w:tc>
          <w:tcPr>
            <w:tcW w:type="dxa" w:w="1728"/>
          </w:tcPr>
          <w:p>
            <w:r>
              <w:rPr>
                <w:rFonts w:ascii="Calibri" w:hAnsi="Calibri"/>
                <w:sz w:val="22"/>
              </w:rPr>
              <w:t>-$4.36B</w:t>
            </w:r>
          </w:p>
        </w:tc>
        <w:tc>
          <w:tcPr>
            <w:tcW w:type="dxa" w:w="1728"/>
          </w:tcPr>
          <w:p>
            <w:r>
              <w:rPr>
                <w:rFonts w:ascii="Calibri" w:hAnsi="Calibri"/>
                <w:sz w:val="22"/>
              </w:rPr>
              <w:t>Unchanged. Consensus slightly below midpoint (-$4.25B), implying Street expects losses at the worse end. Q1 was better than feared at -$777M.</w:t>
            </w:r>
          </w:p>
        </w:tc>
      </w:tr>
      <w:tr>
        <w:tc>
          <w:tcPr>
            <w:tcW w:type="dxa" w:w="1728"/>
          </w:tcPr>
          <w:p>
            <w:r>
              <w:rPr>
                <w:rFonts w:ascii="Calibri" w:hAnsi="Calibri"/>
                <w:sz w:val="22"/>
              </w:rPr>
              <w:t>Ford Blue EBIT (FY 2026)</w:t>
            </w:r>
          </w:p>
        </w:tc>
        <w:tc>
          <w:tcPr>
            <w:tcW w:type="dxa" w:w="1728"/>
          </w:tcPr>
          <w:p>
            <w:r>
              <w:rPr>
                <w:rFonts w:ascii="Calibri" w:hAnsi="Calibri"/>
                <w:sz w:val="22"/>
              </w:rPr>
              <w:t>$4.5B – $5.0B</w:t>
            </w:r>
          </w:p>
        </w:tc>
        <w:tc>
          <w:tcPr>
            <w:tcW w:type="dxa" w:w="1728"/>
          </w:tcPr>
          <w:p>
            <w:r>
              <w:rPr>
                <w:rFonts w:ascii="Calibri" w:hAnsi="Calibri"/>
                <w:sz w:val="22"/>
              </w:rPr>
              <w:t>—</w:t>
            </w:r>
          </w:p>
        </w:tc>
        <w:tc>
          <w:tcPr>
            <w:tcW w:type="dxa" w:w="1728"/>
          </w:tcPr>
          <w:p>
            <w:r>
              <w:rPr>
                <w:rFonts w:ascii="Calibri" w:hAnsi="Calibri"/>
                <w:sz w:val="22"/>
              </w:rPr>
              <w:t>N/A — not separately tracked in VA consensus</w:t>
            </w:r>
          </w:p>
        </w:tc>
        <w:tc>
          <w:tcPr>
            <w:tcW w:type="dxa" w:w="1728"/>
          </w:tcPr>
          <w:p>
            <w:r>
              <w:rPr>
                <w:rFonts w:ascii="Calibri" w:hAnsi="Calibri"/>
                <w:sz w:val="22"/>
              </w:rPr>
              <w:t>↑ Raised $500M at Q1 call vs. prior guidance. Driven by stronger underlying business and go-to-market discipline.</w:t>
            </w:r>
          </w:p>
        </w:tc>
      </w:tr>
      <w:tr>
        <w:tc>
          <w:tcPr>
            <w:tcW w:type="dxa" w:w="1728"/>
          </w:tcPr>
          <w:p>
            <w:r>
              <w:rPr>
                <w:rFonts w:ascii="Calibri" w:hAnsi="Calibri"/>
                <w:sz w:val="22"/>
              </w:rPr>
              <w:t>Adj. Free Cash Flow (FY 2026)</w:t>
            </w:r>
          </w:p>
        </w:tc>
        <w:tc>
          <w:tcPr>
            <w:tcW w:type="dxa" w:w="1728"/>
          </w:tcPr>
          <w:p>
            <w:r>
              <w:rPr>
                <w:rFonts w:ascii="Calibri" w:hAnsi="Calibri"/>
                <w:sz w:val="22"/>
              </w:rPr>
              <w:t>$5.0B – $6.0B</w:t>
            </w:r>
          </w:p>
        </w:tc>
        <w:tc>
          <w:tcPr>
            <w:tcW w:type="dxa" w:w="1728"/>
          </w:tcPr>
          <w:p>
            <w:r>
              <w:rPr>
                <w:rFonts w:ascii="Calibri" w:hAnsi="Calibri"/>
                <w:sz w:val="22"/>
              </w:rPr>
              <w:t>—</w:t>
            </w:r>
          </w:p>
        </w:tc>
        <w:tc>
          <w:tcPr>
            <w:tcW w:type="dxa" w:w="1728"/>
          </w:tcPr>
          <w:p>
            <w:r>
              <w:rPr>
                <w:rFonts w:ascii="Calibri" w:hAnsi="Calibri"/>
                <w:sz w:val="22"/>
              </w:rPr>
              <w:t>$1.46B (FY cons.)</w:t>
            </w:r>
          </w:p>
        </w:tc>
        <w:tc>
          <w:tcPr>
            <w:tcW w:type="dxa" w:w="1728"/>
          </w:tcPr>
          <w:p>
            <w:r>
              <w:rPr>
                <w:rFonts w:ascii="Calibri" w:hAnsi="Calibri"/>
                <w:sz w:val="22"/>
              </w:rPr>
              <w:t>Unchanged. Large gap between guidance midpoint ($5.5B) and consensus ($1.46B) likely reflects timing of IEEPA cash receipt and Novelis working capital; management excluded IEEPA cash from FCF guidance due to timing uncertainty.</w:t>
            </w:r>
          </w:p>
        </w:tc>
      </w:tr>
      <w:tr>
        <w:tc>
          <w:tcPr>
            <w:tcW w:type="dxa" w:w="1728"/>
          </w:tcPr>
          <w:p>
            <w:r>
              <w:rPr>
                <w:rFonts w:ascii="Calibri" w:hAnsi="Calibri"/>
                <w:sz w:val="22"/>
              </w:rPr>
              <w:t>CapEx (FY 2026)</w:t>
            </w:r>
          </w:p>
        </w:tc>
        <w:tc>
          <w:tcPr>
            <w:tcW w:type="dxa" w:w="1728"/>
          </w:tcPr>
          <w:p>
            <w:r>
              <w:rPr>
                <w:rFonts w:ascii="Calibri" w:hAnsi="Calibri"/>
                <w:sz w:val="22"/>
              </w:rPr>
              <w:t>$9.5B – $10.5B (incl. $1.5B Ford Energy)</w:t>
            </w:r>
          </w:p>
        </w:tc>
        <w:tc>
          <w:tcPr>
            <w:tcW w:type="dxa" w:w="1728"/>
          </w:tcPr>
          <w:p>
            <w:r>
              <w:rPr>
                <w:rFonts w:ascii="Calibri" w:hAnsi="Calibri"/>
                <w:sz w:val="22"/>
              </w:rPr>
              <w:t>—</w:t>
            </w:r>
          </w:p>
        </w:tc>
        <w:tc>
          <w:tcPr>
            <w:tcW w:type="dxa" w:w="1728"/>
          </w:tcPr>
          <w:p>
            <w:r>
              <w:rPr>
                <w:rFonts w:ascii="Calibri" w:hAnsi="Calibri"/>
                <w:sz w:val="22"/>
              </w:rPr>
              <w:t>N/A — not separately tracked in VA consensus</w:t>
            </w:r>
          </w:p>
        </w:tc>
        <w:tc>
          <w:tcPr>
            <w:tcW w:type="dxa" w:w="1728"/>
          </w:tcPr>
          <w:p>
            <w:r>
              <w:rPr>
                <w:rFonts w:ascii="Calibri" w:hAnsi="Calibri"/>
                <w:sz w:val="22"/>
              </w:rPr>
              <w:t>Unchanged. Reflects shift toward higher-return growth opportunities including Ford Energy.</w:t>
            </w:r>
          </w:p>
        </w:tc>
      </w:tr>
      <w:tr>
        <w:tc>
          <w:tcPr>
            <w:tcW w:type="dxa" w:w="1728"/>
          </w:tcPr>
          <w:p>
            <w:r>
              <w:rPr>
                <w:rFonts w:ascii="Calibri" w:hAnsi="Calibri"/>
                <w:sz w:val="22"/>
              </w:rPr>
              <w:t>Commodity Headwinds (FY 2026)</w:t>
            </w:r>
          </w:p>
        </w:tc>
        <w:tc>
          <w:tcPr>
            <w:tcW w:type="dxa" w:w="1728"/>
          </w:tcPr>
          <w:p>
            <w:r>
              <w:rPr>
                <w:rFonts w:ascii="Calibri" w:hAnsi="Calibri"/>
                <w:sz w:val="22"/>
              </w:rPr>
              <w:t>~$2B+ (raised $1B at Q1 call)</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Raised $1B at Q1 call vs. prior estimate, driven by higher aluminum pricing. Excludes Novelis-related costs. Key H2 risk.</w:t>
            </w:r>
          </w:p>
        </w:tc>
      </w:tr>
      <w:tr>
        <w:tc>
          <w:tcPr>
            <w:tcW w:type="dxa" w:w="1728"/>
          </w:tcPr>
          <w:p>
            <w:r>
              <w:rPr>
                <w:rFonts w:ascii="Calibri" w:hAnsi="Calibri"/>
                <w:sz w:val="22"/>
              </w:rPr>
              <w:t>Novelis EBIT Impact (FY 2026)</w:t>
            </w:r>
          </w:p>
        </w:tc>
        <w:tc>
          <w:tcPr>
            <w:tcW w:type="dxa" w:w="1728"/>
          </w:tcPr>
          <w:p>
            <w:r>
              <w:rPr>
                <w:rFonts w:ascii="Calibri" w:hAnsi="Calibri"/>
                <w:sz w:val="22"/>
              </w:rPr>
              <w:t>+$1B YoY improvement (net of $1.5B–$2B one-time costs)</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Unchanged. Hot mill restart confirmed for May; full throughput targeted Q4. Recovery weighted to H2.</w:t>
            </w:r>
          </w:p>
        </w:tc>
      </w:tr>
      <w:tr>
        <w:tc>
          <w:tcPr>
            <w:tcW w:type="dxa" w:w="1728"/>
          </w:tcPr>
          <w:p>
            <w:r>
              <w:rPr>
                <w:rFonts w:ascii="Calibri" w:hAnsi="Calibri"/>
                <w:sz w:val="22"/>
              </w:rPr>
              <w:t>U.S. SAAR Assumption</w:t>
            </w:r>
          </w:p>
        </w:tc>
        <w:tc>
          <w:tcPr>
            <w:tcW w:type="dxa" w:w="1728"/>
          </w:tcPr>
          <w:p>
            <w:r>
              <w:rPr>
                <w:rFonts w:ascii="Calibri" w:hAnsi="Calibri"/>
                <w:sz w:val="22"/>
              </w:rPr>
              <w:t>16.0M – 16.5M units</w:t>
            </w:r>
          </w:p>
        </w:tc>
        <w:tc>
          <w:tcPr>
            <w:tcW w:type="dxa" w:w="1728"/>
          </w:tcPr>
          <w:p>
            <w:r>
              <w:rPr>
                <w:rFonts w:ascii="Calibri" w:hAnsi="Calibri"/>
                <w:sz w:val="22"/>
              </w:rPr>
              <w:t>—</w:t>
            </w:r>
          </w:p>
        </w:tc>
        <w:tc>
          <w:tcPr>
            <w:tcW w:type="dxa" w:w="1728"/>
          </w:tcPr>
          <w:p>
            <w:r>
              <w:rPr>
                <w:rFonts w:ascii="Calibri" w:hAnsi="Calibri"/>
                <w:sz w:val="22"/>
              </w:rPr>
              <w:t>GM Q2 call confirmed low-16M range tracking to plan</w:t>
            </w:r>
          </w:p>
        </w:tc>
        <w:tc>
          <w:tcPr>
            <w:tcW w:type="dxa" w:w="1728"/>
          </w:tcPr>
          <w:p>
            <w:r>
              <w:rPr>
                <w:rFonts w:ascii="Calibri" w:hAnsi="Calibri"/>
                <w:sz w:val="22"/>
              </w:rPr>
              <w:t>Unchanged. GM Q2 2026 call confirmed U.S. SAAR running in the low-16M range YTD, consistent with Ford’s assumption.</w:t>
            </w:r>
          </w:p>
        </w:tc>
      </w:tr>
    </w:tbl>
    <w:p>
      <w:r>
        <w:rPr>
          <w:rFonts w:ascii="Calibri" w:hAnsi="Calibri"/>
          <w:i/>
          <w:color w:val="525866"/>
          <w:sz w:val="22"/>
        </w:rPr>
        <w:t>Sources: Ford Q1 2026 Earnings Call transcript (April 29, 2026); GM Q2 2026 Earnings Call transcript (July 21, 2026); Visible Alpha Consensus and Actuals Data.</w:t>
      </w:r>
    </w:p>
    <w:p>
      <w:r>
        <w:br w:type="page"/>
      </w:r>
    </w:p>
    <w:p>
      <w:pPr>
        <w:pStyle w:val="Heading1"/>
        <w:pBdr>
          <w:bottom w:val="single" w:sz="4" w:space="1" w:color="FB9120"/>
        </w:pBdr>
      </w:pPr>
      <w:r>
        <w:rPr>
          <w:rFonts w:ascii="Calibri" w:hAnsi="Calibri"/>
          <w:b/>
          <w:color w:val="3B4259"/>
          <w:sz w:val="40"/>
        </w:rPr>
        <w:t>4. Guidance vs. Estimate Revision Tracker</w:t>
      </w:r>
    </w:p>
    <w:p>
      <w:r>
        <w:rPr>
          <w:rFonts w:ascii="Calibri" w:hAnsi="Calibri"/>
          <w:b/>
          <w:color w:val="525866"/>
          <w:sz w:val="22"/>
        </w:rPr>
        <w:t xml:space="preserve">Key Takeaway: </w:t>
      </w:r>
      <w:r>
        <w:rPr>
          <w:rFonts w:ascii="Calibri" w:hAnsi="Calibri"/>
          <w:color w:val="525866"/>
          <w:sz w:val="22"/>
        </w:rPr>
        <w:t xml:space="preserve">Estimates have drifted modestly lower since the Q1 print across all key KPIs, with Q2 operating EPS consensus down ~3% from the post-Q1 baseline; </w:t>
      </w:r>
      <w:r>
        <w:rPr>
          <w:rFonts w:ascii="Calibri" w:hAnsi="Calibri"/>
          <w:b/>
          <w:color w:val="525866"/>
          <w:sz w:val="22"/>
        </w:rPr>
        <w:t>the gap between FCF guidance and consensus remains the most notable divergence</w:t>
      </w:r>
      <w:r>
        <w:rPr>
          <w:rFonts w:ascii="Calibri" w:hAnsi="Calibri"/>
          <w:color w:val="525866"/>
          <w:sz w:val="22"/>
        </w:rPr>
        <w:t>, driven by timing uncertainty around the IEEPA cash receipt.</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&amp; Period</w:t>
            </w:r>
          </w:p>
        </w:tc>
        <w:tc>
          <w:tcPr>
            <w:tcW w:type="dxa" w:w="1080"/>
            <w:shd w:val="clear" w:color="auto" w:fill="3B4259"/>
          </w:tcPr>
          <w:p>
            <w:r>
              <w:rPr>
                <w:rFonts w:ascii="Calibri" w:hAnsi="Calibri"/>
                <w:b/>
                <w:color w:val="FFFFFF"/>
                <w:sz w:val="22"/>
              </w:rPr>
              <w:t>Estimate ~5 Days Post Q1 Earnings (May 6, 2026)</w:t>
            </w:r>
          </w:p>
        </w:tc>
        <w:tc>
          <w:tcPr>
            <w:tcW w:type="dxa" w:w="1080"/>
            <w:shd w:val="clear" w:color="auto" w:fill="3B4259"/>
          </w:tcPr>
          <w:p>
            <w:r>
              <w:rPr>
                <w:rFonts w:ascii="Calibri" w:hAnsi="Calibri"/>
                <w:b/>
                <w:color w:val="FFFFFF"/>
                <w:sz w:val="22"/>
              </w:rPr>
              <w:t>Current Consensus (Jul 28,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Diluted Op. EPS — Q2 2026</w:t>
            </w:r>
          </w:p>
        </w:tc>
        <w:tc>
          <w:tcPr>
            <w:tcW w:type="dxa" w:w="1080"/>
          </w:tcPr>
          <w:p>
            <w:r>
              <w:rPr>
                <w:rFonts w:ascii="Calibri" w:hAnsi="Calibri"/>
                <w:sz w:val="22"/>
              </w:rPr>
              <w:t>$0.356</w:t>
            </w:r>
          </w:p>
        </w:tc>
        <w:tc>
          <w:tcPr>
            <w:tcW w:type="dxa" w:w="1080"/>
          </w:tcPr>
          <w:p>
            <w:r>
              <w:rPr>
                <w:rFonts w:ascii="Calibri" w:hAnsi="Calibri"/>
                <w:sz w:val="22"/>
              </w:rPr>
              <w:t>$0.345</w:t>
            </w:r>
          </w:p>
        </w:tc>
        <w:tc>
          <w:tcPr>
            <w:tcW w:type="dxa" w:w="1080"/>
          </w:tcPr>
          <w:p>
            <w:r>
              <w:rPr>
                <w:rFonts w:ascii="Calibri" w:hAnsi="Calibri"/>
                <w:sz w:val="22"/>
              </w:rPr>
              <w:t>-3.1%</w:t>
            </w:r>
          </w:p>
        </w:tc>
        <w:tc>
          <w:tcPr>
            <w:tcW w:type="dxa" w:w="1080"/>
          </w:tcPr>
          <w:p>
            <w:r>
              <w:rPr>
                <w:rFonts w:ascii="Calibri" w:hAnsi="Calibri"/>
                <w:sz w:val="22"/>
              </w:rPr>
              <w:t>No Q-level guidance</w:t>
            </w:r>
          </w:p>
        </w:tc>
        <w:tc>
          <w:tcPr>
            <w:tcW w:type="dxa" w:w="1080"/>
          </w:tcPr>
          <w:p>
            <w:r>
              <w:rPr>
                <w:rFonts w:ascii="Calibri" w:hAnsi="Calibri"/>
                <w:sz w:val="22"/>
              </w:rPr>
              <w:t>No Q-level guidance</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Diluted Op. EPS — FY 2026</w:t>
            </w:r>
          </w:p>
        </w:tc>
        <w:tc>
          <w:tcPr>
            <w:tcW w:type="dxa" w:w="1080"/>
          </w:tcPr>
          <w:p>
            <w:r>
              <w:rPr>
                <w:rFonts w:ascii="Calibri" w:hAnsi="Calibri"/>
                <w:sz w:val="22"/>
              </w:rPr>
              <w:t>$1.650</w:t>
            </w:r>
          </w:p>
        </w:tc>
        <w:tc>
          <w:tcPr>
            <w:tcW w:type="dxa" w:w="1080"/>
          </w:tcPr>
          <w:p>
            <w:r>
              <w:rPr>
                <w:rFonts w:ascii="Calibri" w:hAnsi="Calibri"/>
                <w:sz w:val="22"/>
              </w:rPr>
              <w:t>$1.650</w:t>
            </w:r>
          </w:p>
        </w:tc>
        <w:tc>
          <w:tcPr>
            <w:tcW w:type="dxa" w:w="1080"/>
          </w:tcPr>
          <w:p>
            <w:r>
              <w:rPr>
                <w:rFonts w:ascii="Calibri" w:hAnsi="Calibri"/>
                <w:sz w:val="22"/>
              </w:rPr>
              <w:t>0.0%</w:t>
            </w:r>
          </w:p>
        </w:tc>
        <w:tc>
          <w:tcPr>
            <w:tcW w:type="dxa" w:w="1080"/>
          </w:tcPr>
          <w:p>
            <w:r>
              <w:rPr>
                <w:rFonts w:ascii="Calibri" w:hAnsi="Calibri"/>
                <w:sz w:val="22"/>
              </w:rPr>
              <w:t>No FY EPS guidance</w:t>
            </w:r>
          </w:p>
        </w:tc>
        <w:tc>
          <w:tcPr>
            <w:tcW w:type="dxa" w:w="1080"/>
          </w:tcPr>
          <w:p>
            <w:r>
              <w:rPr>
                <w:rFonts w:ascii="Calibri" w:hAnsi="Calibri"/>
                <w:sz w:val="22"/>
              </w:rPr>
              <w:t>No FY EPS guidance</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Total Revenue — Q2 2026</w:t>
            </w:r>
          </w:p>
        </w:tc>
        <w:tc>
          <w:tcPr>
            <w:tcW w:type="dxa" w:w="1080"/>
          </w:tcPr>
          <w:p>
            <w:r>
              <w:rPr>
                <w:rFonts w:ascii="Calibri" w:hAnsi="Calibri"/>
                <w:sz w:val="22"/>
              </w:rPr>
              <w:t>$50.5B</w:t>
            </w:r>
          </w:p>
        </w:tc>
        <w:tc>
          <w:tcPr>
            <w:tcW w:type="dxa" w:w="1080"/>
          </w:tcPr>
          <w:p>
            <w:r>
              <w:rPr>
                <w:rFonts w:ascii="Calibri" w:hAnsi="Calibri"/>
                <w:sz w:val="22"/>
              </w:rPr>
              <w:t>$49.6B</w:t>
            </w:r>
          </w:p>
        </w:tc>
        <w:tc>
          <w:tcPr>
            <w:tcW w:type="dxa" w:w="1080"/>
          </w:tcPr>
          <w:p>
            <w:r>
              <w:rPr>
                <w:rFonts w:ascii="Calibri" w:hAnsi="Calibri"/>
                <w:sz w:val="22"/>
              </w:rPr>
              <w:t>-1.8%</w:t>
            </w:r>
          </w:p>
        </w:tc>
        <w:tc>
          <w:tcPr>
            <w:tcW w:type="dxa" w:w="1080"/>
          </w:tcPr>
          <w:p>
            <w:r>
              <w:rPr>
                <w:rFonts w:ascii="Calibri" w:hAnsi="Calibri"/>
                <w:sz w:val="22"/>
              </w:rPr>
              <w:t>No Q-level guidance</w:t>
            </w:r>
          </w:p>
        </w:tc>
        <w:tc>
          <w:tcPr>
            <w:tcW w:type="dxa" w:w="1080"/>
          </w:tcPr>
          <w:p>
            <w:r>
              <w:rPr>
                <w:rFonts w:ascii="Calibri" w:hAnsi="Calibri"/>
                <w:sz w:val="22"/>
              </w:rPr>
              <w:t>No Q-level guidance</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Total Revenue — FY 2026</w:t>
            </w:r>
          </w:p>
        </w:tc>
        <w:tc>
          <w:tcPr>
            <w:tcW w:type="dxa" w:w="1080"/>
          </w:tcPr>
          <w:p>
            <w:r>
              <w:rPr>
                <w:rFonts w:ascii="Calibri" w:hAnsi="Calibri"/>
                <w:sz w:val="22"/>
              </w:rPr>
              <w:t>$194.0B</w:t>
            </w:r>
          </w:p>
        </w:tc>
        <w:tc>
          <w:tcPr>
            <w:tcW w:type="dxa" w:w="1080"/>
          </w:tcPr>
          <w:p>
            <w:r>
              <w:rPr>
                <w:rFonts w:ascii="Calibri" w:hAnsi="Calibri"/>
                <w:sz w:val="22"/>
              </w:rPr>
              <w:t>$193.1B</w:t>
            </w:r>
          </w:p>
        </w:tc>
        <w:tc>
          <w:tcPr>
            <w:tcW w:type="dxa" w:w="1080"/>
          </w:tcPr>
          <w:p>
            <w:r>
              <w:rPr>
                <w:rFonts w:ascii="Calibri" w:hAnsi="Calibri"/>
                <w:sz w:val="22"/>
              </w:rPr>
              <w:t>-0.5%</w:t>
            </w:r>
          </w:p>
        </w:tc>
        <w:tc>
          <w:tcPr>
            <w:tcW w:type="dxa" w:w="1080"/>
          </w:tcPr>
          <w:p>
            <w:r>
              <w:rPr>
                <w:rFonts w:ascii="Calibri" w:hAnsi="Calibri"/>
                <w:sz w:val="22"/>
              </w:rPr>
              <w:t>No FY revenue guidance</w:t>
            </w:r>
          </w:p>
        </w:tc>
        <w:tc>
          <w:tcPr>
            <w:tcW w:type="dxa" w:w="1080"/>
          </w:tcPr>
          <w:p>
            <w:r>
              <w:rPr>
                <w:rFonts w:ascii="Calibri" w:hAnsi="Calibri"/>
                <w:sz w:val="22"/>
              </w:rPr>
              <w:t>No FY revenue guidance</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Ford Pro EBIT — Q2 2026</w:t>
            </w:r>
          </w:p>
        </w:tc>
        <w:tc>
          <w:tcPr>
            <w:tcW w:type="dxa" w:w="1080"/>
          </w:tcPr>
          <w:p>
            <w:r>
              <w:rPr>
                <w:rFonts w:ascii="Calibri" w:hAnsi="Calibri"/>
                <w:sz w:val="22"/>
              </w:rPr>
              <w:t>$1.945B</w:t>
            </w:r>
          </w:p>
        </w:tc>
        <w:tc>
          <w:tcPr>
            <w:tcW w:type="dxa" w:w="1080"/>
          </w:tcPr>
          <w:p>
            <w:r>
              <w:rPr>
                <w:rFonts w:ascii="Calibri" w:hAnsi="Calibri"/>
                <w:sz w:val="22"/>
              </w:rPr>
              <w:t>$1.907B</w:t>
            </w:r>
          </w:p>
        </w:tc>
        <w:tc>
          <w:tcPr>
            <w:tcW w:type="dxa" w:w="1080"/>
          </w:tcPr>
          <w:p>
            <w:r>
              <w:rPr>
                <w:rFonts w:ascii="Calibri" w:hAnsi="Calibri"/>
                <w:sz w:val="22"/>
              </w:rPr>
              <w:t>-2.0%</w:t>
            </w:r>
          </w:p>
        </w:tc>
        <w:tc>
          <w:tcPr>
            <w:tcW w:type="dxa" w:w="1080"/>
          </w:tcPr>
          <w:p>
            <w:r>
              <w:rPr>
                <w:rFonts w:ascii="Calibri" w:hAnsi="Calibri"/>
                <w:sz w:val="22"/>
              </w:rPr>
              <w:t>No Q-level guidance</w:t>
            </w:r>
          </w:p>
        </w:tc>
        <w:tc>
          <w:tcPr>
            <w:tcW w:type="dxa" w:w="1080"/>
          </w:tcPr>
          <w:p>
            <w:r>
              <w:rPr>
                <w:rFonts w:ascii="Calibri" w:hAnsi="Calibri"/>
                <w:sz w:val="22"/>
              </w:rPr>
              <w:t>No Q-level guidance</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Ford Pro EBIT — FY 2026</w:t>
            </w:r>
          </w:p>
        </w:tc>
        <w:tc>
          <w:tcPr>
            <w:tcW w:type="dxa" w:w="1080"/>
          </w:tcPr>
          <w:p>
            <w:r>
              <w:rPr>
                <w:rFonts w:ascii="Calibri" w:hAnsi="Calibri"/>
                <w:sz w:val="22"/>
              </w:rPr>
              <w:t>$7.162B</w:t>
            </w:r>
          </w:p>
        </w:tc>
        <w:tc>
          <w:tcPr>
            <w:tcW w:type="dxa" w:w="1080"/>
          </w:tcPr>
          <w:p>
            <w:r>
              <w:rPr>
                <w:rFonts w:ascii="Calibri" w:hAnsi="Calibri"/>
                <w:sz w:val="22"/>
              </w:rPr>
              <w:t>$7.081B</w:t>
            </w:r>
          </w:p>
        </w:tc>
        <w:tc>
          <w:tcPr>
            <w:tcW w:type="dxa" w:w="1080"/>
          </w:tcPr>
          <w:p>
            <w:r>
              <w:rPr>
                <w:rFonts w:ascii="Calibri" w:hAnsi="Calibri"/>
                <w:sz w:val="22"/>
              </w:rPr>
              <w:t>-1.1%</w:t>
            </w:r>
          </w:p>
        </w:tc>
        <w:tc>
          <w:tcPr>
            <w:tcW w:type="dxa" w:w="1080"/>
          </w:tcPr>
          <w:p>
            <w:r>
              <w:rPr>
                <w:rFonts w:ascii="Calibri" w:hAnsi="Calibri"/>
                <w:sz w:val="22"/>
              </w:rPr>
              <w:t>$6.5B – $7.5B</w:t>
            </w:r>
          </w:p>
        </w:tc>
        <w:tc>
          <w:tcPr>
            <w:tcW w:type="dxa" w:w="1080"/>
          </w:tcPr>
          <w:p>
            <w:r>
              <w:rPr>
                <w:rFonts w:ascii="Calibri" w:hAnsi="Calibri"/>
                <w:sz w:val="22"/>
              </w:rPr>
              <w:t>$6.5B – $7.5B (unchanged)</w:t>
            </w:r>
          </w:p>
        </w:tc>
        <w:tc>
          <w:tcPr>
            <w:tcW w:type="dxa" w:w="1080"/>
          </w:tcPr>
          <w:p>
            <w:r>
              <w:rPr>
                <w:rFonts w:ascii="Calibri" w:hAnsi="Calibri"/>
                <w:sz w:val="22"/>
              </w:rPr>
              <w:t>0%</w:t>
            </w:r>
          </w:p>
        </w:tc>
        <w:tc>
          <w:tcPr>
            <w:tcW w:type="dxa" w:w="1080"/>
          </w:tcPr>
          <w:p>
            <w:r>
              <w:rPr>
                <w:rFonts w:ascii="Calibri" w:hAnsi="Calibri"/>
                <w:sz w:val="22"/>
              </w:rPr>
              <w:t>+1.2% above midpoint ($7.0B)</w:t>
            </w:r>
          </w:p>
        </w:tc>
      </w:tr>
      <w:tr>
        <w:tc>
          <w:tcPr>
            <w:tcW w:type="dxa" w:w="1080"/>
          </w:tcPr>
          <w:p>
            <w:r>
              <w:rPr>
                <w:rFonts w:ascii="Calibri" w:hAnsi="Calibri"/>
                <w:sz w:val="22"/>
              </w:rPr>
              <w:t>Model e EBIT Loss — Q2 2026</w:t>
            </w:r>
          </w:p>
        </w:tc>
        <w:tc>
          <w:tcPr>
            <w:tcW w:type="dxa" w:w="1080"/>
          </w:tcPr>
          <w:p>
            <w:r>
              <w:rPr>
                <w:rFonts w:ascii="Calibri" w:hAnsi="Calibri"/>
                <w:sz w:val="22"/>
              </w:rPr>
              <w:t>-$1.170B</w:t>
            </w:r>
          </w:p>
        </w:tc>
        <w:tc>
          <w:tcPr>
            <w:tcW w:type="dxa" w:w="1080"/>
          </w:tcPr>
          <w:p>
            <w:r>
              <w:rPr>
                <w:rFonts w:ascii="Calibri" w:hAnsi="Calibri"/>
                <w:sz w:val="22"/>
              </w:rPr>
              <w:t>-$1.126B</w:t>
            </w:r>
          </w:p>
        </w:tc>
        <w:tc>
          <w:tcPr>
            <w:tcW w:type="dxa" w:w="1080"/>
          </w:tcPr>
          <w:p>
            <w:r>
              <w:rPr>
                <w:rFonts w:ascii="Calibri" w:hAnsi="Calibri"/>
                <w:sz w:val="22"/>
              </w:rPr>
              <w:t>+3.8% (loss narrows)</w:t>
            </w:r>
          </w:p>
        </w:tc>
        <w:tc>
          <w:tcPr>
            <w:tcW w:type="dxa" w:w="1080"/>
          </w:tcPr>
          <w:p>
            <w:r>
              <w:rPr>
                <w:rFonts w:ascii="Calibri" w:hAnsi="Calibri"/>
                <w:sz w:val="22"/>
              </w:rPr>
              <w:t>No Q-level guidance</w:t>
            </w:r>
          </w:p>
        </w:tc>
        <w:tc>
          <w:tcPr>
            <w:tcW w:type="dxa" w:w="1080"/>
          </w:tcPr>
          <w:p>
            <w:r>
              <w:rPr>
                <w:rFonts w:ascii="Calibri" w:hAnsi="Calibri"/>
                <w:sz w:val="22"/>
              </w:rPr>
              <w:t>No Q-level guidance</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Model e EBIT Loss — FY 2026</w:t>
            </w:r>
          </w:p>
        </w:tc>
        <w:tc>
          <w:tcPr>
            <w:tcW w:type="dxa" w:w="1080"/>
          </w:tcPr>
          <w:p>
            <w:r>
              <w:rPr>
                <w:rFonts w:ascii="Calibri" w:hAnsi="Calibri"/>
                <w:sz w:val="22"/>
              </w:rPr>
              <w:t>-$4.358B</w:t>
            </w:r>
          </w:p>
        </w:tc>
        <w:tc>
          <w:tcPr>
            <w:tcW w:type="dxa" w:w="1080"/>
          </w:tcPr>
          <w:p>
            <w:r>
              <w:rPr>
                <w:rFonts w:ascii="Calibri" w:hAnsi="Calibri"/>
                <w:sz w:val="22"/>
              </w:rPr>
              <w:t>-$4.356B</w:t>
            </w:r>
          </w:p>
        </w:tc>
        <w:tc>
          <w:tcPr>
            <w:tcW w:type="dxa" w:w="1080"/>
          </w:tcPr>
          <w:p>
            <w:r>
              <w:rPr>
                <w:rFonts w:ascii="Calibri" w:hAnsi="Calibri"/>
                <w:sz w:val="22"/>
              </w:rPr>
              <w:t>0.0%</w:t>
            </w:r>
          </w:p>
        </w:tc>
        <w:tc>
          <w:tcPr>
            <w:tcW w:type="dxa" w:w="1080"/>
          </w:tcPr>
          <w:p>
            <w:r>
              <w:rPr>
                <w:rFonts w:ascii="Calibri" w:hAnsi="Calibri"/>
                <w:sz w:val="22"/>
              </w:rPr>
              <w:t>-$4.0B to -$4.5B</w:t>
            </w:r>
          </w:p>
        </w:tc>
        <w:tc>
          <w:tcPr>
            <w:tcW w:type="dxa" w:w="1080"/>
          </w:tcPr>
          <w:p>
            <w:r>
              <w:rPr>
                <w:rFonts w:ascii="Calibri" w:hAnsi="Calibri"/>
                <w:sz w:val="22"/>
              </w:rPr>
              <w:t>-$4.0B to -$4.5B (unchanged)</w:t>
            </w:r>
          </w:p>
        </w:tc>
        <w:tc>
          <w:tcPr>
            <w:tcW w:type="dxa" w:w="1080"/>
          </w:tcPr>
          <w:p>
            <w:r>
              <w:rPr>
                <w:rFonts w:ascii="Calibri" w:hAnsi="Calibri"/>
                <w:sz w:val="22"/>
              </w:rPr>
              <w:t>0%</w:t>
            </w:r>
          </w:p>
        </w:tc>
        <w:tc>
          <w:tcPr>
            <w:tcW w:type="dxa" w:w="1080"/>
          </w:tcPr>
          <w:p>
            <w:r>
              <w:rPr>
                <w:rFonts w:ascii="Calibri" w:hAnsi="Calibri"/>
                <w:sz w:val="22"/>
              </w:rPr>
              <w:t>-2.5% below midpoint (-$4.25B)</w:t>
            </w:r>
          </w:p>
        </w:tc>
      </w:tr>
      <w:tr>
        <w:tc>
          <w:tcPr>
            <w:tcW w:type="dxa" w:w="1080"/>
          </w:tcPr>
          <w:p>
            <w:r>
              <w:rPr>
                <w:rFonts w:ascii="Calibri" w:hAnsi="Calibri"/>
                <w:sz w:val="22"/>
              </w:rPr>
              <w:t>Adj. FCF — FY 2026</w:t>
            </w:r>
          </w:p>
        </w:tc>
        <w:tc>
          <w:tcPr>
            <w:tcW w:type="dxa" w:w="1080"/>
          </w:tcPr>
          <w:p>
            <w:r>
              <w:rPr>
                <w:rFonts w:ascii="Calibri" w:hAnsi="Calibri"/>
                <w:sz w:val="22"/>
              </w:rPr>
              <w:t>$1.615B</w:t>
            </w:r>
          </w:p>
        </w:tc>
        <w:tc>
          <w:tcPr>
            <w:tcW w:type="dxa" w:w="1080"/>
          </w:tcPr>
          <w:p>
            <w:r>
              <w:rPr>
                <w:rFonts w:ascii="Calibri" w:hAnsi="Calibri"/>
                <w:sz w:val="22"/>
              </w:rPr>
              <w:t>$1.455B</w:t>
            </w:r>
          </w:p>
        </w:tc>
        <w:tc>
          <w:tcPr>
            <w:tcW w:type="dxa" w:w="1080"/>
          </w:tcPr>
          <w:p>
            <w:r>
              <w:rPr>
                <w:rFonts w:ascii="Calibri" w:hAnsi="Calibri"/>
                <w:sz w:val="22"/>
              </w:rPr>
              <w:t>-9.9%</w:t>
            </w:r>
          </w:p>
        </w:tc>
        <w:tc>
          <w:tcPr>
            <w:tcW w:type="dxa" w:w="1080"/>
          </w:tcPr>
          <w:p>
            <w:r>
              <w:rPr>
                <w:rFonts w:ascii="Calibri" w:hAnsi="Calibri"/>
                <w:sz w:val="22"/>
              </w:rPr>
              <w:t>$5.0B – $6.0B</w:t>
            </w:r>
          </w:p>
        </w:tc>
        <w:tc>
          <w:tcPr>
            <w:tcW w:type="dxa" w:w="1080"/>
          </w:tcPr>
          <w:p>
            <w:r>
              <w:rPr>
                <w:rFonts w:ascii="Calibri" w:hAnsi="Calibri"/>
                <w:sz w:val="22"/>
              </w:rPr>
              <w:t>$5.0B – $6.0B (unchanged)</w:t>
            </w:r>
          </w:p>
        </w:tc>
        <w:tc>
          <w:tcPr>
            <w:tcW w:type="dxa" w:w="1080"/>
          </w:tcPr>
          <w:p>
            <w:r>
              <w:rPr>
                <w:rFonts w:ascii="Calibri" w:hAnsi="Calibri"/>
                <w:sz w:val="22"/>
              </w:rPr>
              <w:t>0%</w:t>
            </w:r>
          </w:p>
        </w:tc>
        <w:tc>
          <w:tcPr>
            <w:tcW w:type="dxa" w:w="1080"/>
          </w:tcPr>
          <w:p>
            <w:r>
              <w:rPr>
                <w:rFonts w:ascii="Calibri" w:hAnsi="Calibri"/>
                <w:sz w:val="22"/>
              </w:rPr>
              <w:t>-74% below midpoint ($5.5B) — timing gap</w:t>
            </w:r>
          </w:p>
        </w:tc>
      </w:tr>
    </w:tbl>
    <w:p>
      <w:r>
        <w:rPr>
          <w:rFonts w:ascii="Calibri" w:hAnsi="Calibri"/>
          <w:b/>
          <w:color w:val="525866"/>
          <w:sz w:val="22"/>
        </w:rPr>
        <w:t xml:space="preserve">Commentary: </w:t>
      </w:r>
      <w:r>
        <w:rPr>
          <w:rFonts w:ascii="Calibri" w:hAnsi="Calibri"/>
          <w:i/>
          <w:color w:val="525866"/>
          <w:sz w:val="22"/>
        </w:rPr>
        <w:t>Estimate revisions since the Q1 print have been modest and orderly — Q2 EPS down ~3%, revenue down ~2%, Ford Pro EBIT down ~2% — consistent with the Street de-risking the quarter after management guided to a materially lower H2 run-rate. The FY FCF consensus ($1.46B) remains dramatically below the guidance midpoint ($5.5B), which management attributed to uncertainty around the timing of the IEEPA cash receipt ($1.3B) and Novelis working capital normalization; this gap is a known timing issue, not a fundamental miss signal. Model e FY loss estimates have been stable, suggesting the Street believes the $4.0B–$4.5B range is credible. Source: Visible Alpha Consensus and Actuals Data (as-of date May 6, 2026 for baseline; latest as of July 28, 2026).</w:t>
      </w:r>
    </w:p>
    <w:p>
      <w:r>
        <w:br w:type="page"/>
      </w:r>
    </w:p>
    <w:p>
      <w:pPr>
        <w:pStyle w:val="Heading1"/>
        <w:pBdr>
          <w:bottom w:val="single" w:sz="4" w:space="1" w:color="FB9120"/>
        </w:pBdr>
      </w:pPr>
      <w:r>
        <w:rPr>
          <w:rFonts w:ascii="Calibri" w:hAnsi="Calibri"/>
          <w:b/>
          <w:color w:val="3B4259"/>
          <w:sz w:val="40"/>
        </w:rPr>
        <w:t>5. Stock Performance</w:t>
      </w:r>
    </w:p>
    <w:p>
      <w:r>
        <w:rPr>
          <w:rFonts w:ascii="Calibri" w:hAnsi="Calibri"/>
          <w:b/>
          <w:color w:val="525866"/>
          <w:sz w:val="22"/>
        </w:rPr>
        <w:t xml:space="preserve">Key Takeaway: </w:t>
      </w:r>
      <w:r>
        <w:rPr>
          <w:rFonts w:ascii="Calibri" w:hAnsi="Calibri"/>
          <w:color w:val="525866"/>
          <w:sz w:val="22"/>
        </w:rPr>
        <w:t xml:space="preserve">F has outperformed both XLY and the S&amp;P 500 since Q1 earnings, driven primarily by </w:t>
      </w:r>
      <w:r>
        <w:rPr>
          <w:rFonts w:ascii="Calibri" w:hAnsi="Calibri"/>
          <w:b/>
          <w:color w:val="525866"/>
          <w:sz w:val="22"/>
        </w:rPr>
        <w:t>multiple re-rating and positive sentiment</w:t>
      </w:r>
      <w:r>
        <w:rPr>
          <w:rFonts w:ascii="Calibri" w:hAnsi="Calibri"/>
          <w:color w:val="525866"/>
          <w:sz w:val="22"/>
        </w:rPr>
        <w:t xml:space="preserve"> rather than estimate revisions (which were flat to slightly down); the stock’s +20% move since April 29 is largely sentiment/multiple-driven, leaving it more vulnerable to a guidance disappointment.</w:t>
      </w:r>
    </w:p>
    <w:p>
      <w:r>
        <w:rPr>
          <w:rFonts w:ascii="Calibri" w:hAnsi="Calibri"/>
          <w:color w:val="525866"/>
          <w:sz w:val="22"/>
        </w:rPr>
        <w:t xml:space="preserve">Since the Q1 2026 earnings date (April 29, 2026), F has risen from $12.24 to $14.68 as of July 28, 2026, a gain of approximately +20.0%. Over the same period, XLY (Consumer Discretionary Select Sector SPDR, the relevant sector ETF for auto OEMs) declined from $116.84 to $110.84, a loss of approximately -5.1%, while the S&amp;P 500 (SPY) rose from $711.58 to $739.09, a gain of approximately +3.9%. Ford’s outperformance of ~+25 percentage points vs. XLY and ~+16 percentage points vs. SPY is notable. Key events during the period include: (1) </w:t>
      </w:r>
      <w:r>
        <w:rPr>
          <w:rFonts w:ascii="Calibri" w:hAnsi="Calibri"/>
          <w:b/>
          <w:color w:val="525866"/>
          <w:sz w:val="22"/>
        </w:rPr>
        <w:t>May 13–29 surge</w:t>
      </w:r>
      <w:r>
        <w:rPr>
          <w:rFonts w:ascii="Calibri" w:hAnsi="Calibri"/>
          <w:color w:val="525866"/>
          <w:sz w:val="22"/>
        </w:rPr>
        <w:t xml:space="preserve">: F rallied from ~$12 to $17.44 on positive tariff relief news and improving sentiment around the IEEPA benefit; (2) </w:t>
      </w:r>
      <w:r>
        <w:rPr>
          <w:rFonts w:ascii="Calibri" w:hAnsi="Calibri"/>
          <w:b/>
          <w:color w:val="525866"/>
          <w:sz w:val="22"/>
        </w:rPr>
        <w:t>June pullback</w:t>
      </w:r>
      <w:r>
        <w:rPr>
          <w:rFonts w:ascii="Calibri" w:hAnsi="Calibri"/>
          <w:color w:val="525866"/>
          <w:sz w:val="22"/>
        </w:rPr>
        <w:t xml:space="preserve">: stock retraced to ~$13.84 by June 24 as commodity headwind concerns and USMCA uncertainty weighed; (3) </w:t>
      </w:r>
      <w:r>
        <w:rPr>
          <w:rFonts w:ascii="Calibri" w:hAnsi="Calibri"/>
          <w:b/>
          <w:color w:val="525866"/>
          <w:sz w:val="22"/>
        </w:rPr>
        <w:t>July 27 Jefferies upgrade</w:t>
      </w:r>
      <w:r>
        <w:rPr>
          <w:rFonts w:ascii="Calibri" w:hAnsi="Calibri"/>
          <w:color w:val="525866"/>
          <w:sz w:val="22"/>
        </w:rPr>
        <w:t>: Jefferies upgraded F to Buy from Hold with a $17.50 PT, citing Q2 as the volume trough and potential for guidance raise, lifting the stock ~2.8% on the day. The NTM P/E of ~8x and EV/EBITDA of ~10x remain well below historical averages, suggesting the stock is not pricing in a sustained beat cycle. Stock performance data sourced from Yahoo Finance.</w:t>
      </w:r>
    </w:p>
    <w:p>
      <w:r>
        <w:rPr>
          <w:rFonts w:ascii="Calibri" w:hAnsi="Calibri"/>
          <w:b/>
          <w:color w:val="525866"/>
          <w:sz w:val="22"/>
        </w:rPr>
        <w:t>Indexed Performance (Base = 100 at April 29, 2026 close):</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Date</w:t>
            </w:r>
          </w:p>
        </w:tc>
        <w:tc>
          <w:tcPr>
            <w:tcW w:type="dxa" w:w="2160"/>
            <w:shd w:val="clear" w:color="auto" w:fill="3B4259"/>
          </w:tcPr>
          <w:p>
            <w:r>
              <w:rPr>
                <w:rFonts w:ascii="Calibri" w:hAnsi="Calibri"/>
                <w:b/>
                <w:color w:val="FFFFFF"/>
                <w:sz w:val="22"/>
              </w:rPr>
              <w:t>F (Indexed)</w:t>
            </w:r>
          </w:p>
        </w:tc>
        <w:tc>
          <w:tcPr>
            <w:tcW w:type="dxa" w:w="2160"/>
            <w:shd w:val="clear" w:color="auto" w:fill="3B4259"/>
          </w:tcPr>
          <w:p>
            <w:r>
              <w:rPr>
                <w:rFonts w:ascii="Calibri" w:hAnsi="Calibri"/>
                <w:b/>
                <w:color w:val="FFFFFF"/>
                <w:sz w:val="22"/>
              </w:rPr>
              <w:t>XLY (Indexed)</w:t>
            </w:r>
          </w:p>
        </w:tc>
        <w:tc>
          <w:tcPr>
            <w:tcW w:type="dxa" w:w="2160"/>
            <w:shd w:val="clear" w:color="auto" w:fill="3B4259"/>
          </w:tcPr>
          <w:p>
            <w:r>
              <w:rPr>
                <w:rFonts w:ascii="Calibri" w:hAnsi="Calibri"/>
                <w:b/>
                <w:color w:val="FFFFFF"/>
                <w:sz w:val="22"/>
              </w:rPr>
              <w:t>SPY (Indexed)</w:t>
            </w:r>
          </w:p>
        </w:tc>
      </w:tr>
      <w:tr>
        <w:tc>
          <w:tcPr>
            <w:tcW w:type="dxa" w:w="2160"/>
          </w:tcPr>
          <w:p>
            <w:r>
              <w:rPr>
                <w:rFonts w:ascii="Calibri" w:hAnsi="Calibri"/>
                <w:sz w:val="22"/>
              </w:rPr>
              <w:t>Apr 29, 2026 (Q1 Earnings)</w:t>
            </w:r>
          </w:p>
        </w:tc>
        <w:tc>
          <w:tcPr>
            <w:tcW w:type="dxa" w:w="2160"/>
          </w:tcPr>
          <w:p>
            <w:r>
              <w:rPr>
                <w:rFonts w:ascii="Calibri" w:hAnsi="Calibri"/>
                <w:sz w:val="22"/>
              </w:rPr>
              <w:t>100.0</w:t>
            </w:r>
          </w:p>
        </w:tc>
        <w:tc>
          <w:tcPr>
            <w:tcW w:type="dxa" w:w="2160"/>
          </w:tcPr>
          <w:p>
            <w:r>
              <w:rPr>
                <w:rFonts w:ascii="Calibri" w:hAnsi="Calibri"/>
                <w:sz w:val="22"/>
              </w:rPr>
              <w:t>100.0</w:t>
            </w:r>
          </w:p>
        </w:tc>
        <w:tc>
          <w:tcPr>
            <w:tcW w:type="dxa" w:w="2160"/>
          </w:tcPr>
          <w:p>
            <w:r>
              <w:rPr>
                <w:rFonts w:ascii="Calibri" w:hAnsi="Calibri"/>
                <w:sz w:val="22"/>
              </w:rPr>
              <w:t>100.0</w:t>
            </w:r>
          </w:p>
        </w:tc>
      </w:tr>
      <w:tr>
        <w:tc>
          <w:tcPr>
            <w:tcW w:type="dxa" w:w="2160"/>
          </w:tcPr>
          <w:p>
            <w:r>
              <w:rPr>
                <w:rFonts w:ascii="Calibri" w:hAnsi="Calibri"/>
                <w:sz w:val="22"/>
              </w:rPr>
              <w:t>May 13, 2026</w:t>
            </w:r>
          </w:p>
        </w:tc>
        <w:tc>
          <w:tcPr>
            <w:tcW w:type="dxa" w:w="2160"/>
          </w:tcPr>
          <w:p>
            <w:r>
              <w:rPr>
                <w:rFonts w:ascii="Calibri" w:hAnsi="Calibri"/>
                <w:sz w:val="22"/>
              </w:rPr>
              <w:t>110.9</w:t>
            </w:r>
          </w:p>
        </w:tc>
        <w:tc>
          <w:tcPr>
            <w:tcW w:type="dxa" w:w="2160"/>
          </w:tcPr>
          <w:p>
            <w:r>
              <w:rPr>
                <w:rFonts w:ascii="Calibri" w:hAnsi="Calibri"/>
                <w:sz w:val="22"/>
              </w:rPr>
              <w:t>101.6</w:t>
            </w:r>
          </w:p>
        </w:tc>
        <w:tc>
          <w:tcPr>
            <w:tcW w:type="dxa" w:w="2160"/>
          </w:tcPr>
          <w:p>
            <w:r>
              <w:rPr>
                <w:rFonts w:ascii="Calibri" w:hAnsi="Calibri"/>
                <w:sz w:val="22"/>
              </w:rPr>
              <w:t>104.3</w:t>
            </w:r>
          </w:p>
        </w:tc>
      </w:tr>
      <w:tr>
        <w:tc>
          <w:tcPr>
            <w:tcW w:type="dxa" w:w="2160"/>
          </w:tcPr>
          <w:p>
            <w:r>
              <w:rPr>
                <w:rFonts w:ascii="Calibri" w:hAnsi="Calibri"/>
                <w:sz w:val="22"/>
              </w:rPr>
              <w:t>May 29, 2026 (Peak)</w:t>
            </w:r>
          </w:p>
        </w:tc>
        <w:tc>
          <w:tcPr>
            <w:tcW w:type="dxa" w:w="2160"/>
          </w:tcPr>
          <w:p>
            <w:r>
              <w:rPr>
                <w:rFonts w:ascii="Calibri" w:hAnsi="Calibri"/>
                <w:sz w:val="22"/>
              </w:rPr>
              <w:t>142.5</w:t>
            </w:r>
          </w:p>
        </w:tc>
        <w:tc>
          <w:tcPr>
            <w:tcW w:type="dxa" w:w="2160"/>
          </w:tcPr>
          <w:p>
            <w:r>
              <w:rPr>
                <w:rFonts w:ascii="Calibri" w:hAnsi="Calibri"/>
                <w:sz w:val="22"/>
              </w:rPr>
              <w:t>103.5</w:t>
            </w:r>
          </w:p>
        </w:tc>
        <w:tc>
          <w:tcPr>
            <w:tcW w:type="dxa" w:w="2160"/>
          </w:tcPr>
          <w:p>
            <w:r>
              <w:rPr>
                <w:rFonts w:ascii="Calibri" w:hAnsi="Calibri"/>
                <w:sz w:val="22"/>
              </w:rPr>
              <w:t>106.3</w:t>
            </w:r>
          </w:p>
        </w:tc>
      </w:tr>
      <w:tr>
        <w:tc>
          <w:tcPr>
            <w:tcW w:type="dxa" w:w="2160"/>
          </w:tcPr>
          <w:p>
            <w:r>
              <w:rPr>
                <w:rFonts w:ascii="Calibri" w:hAnsi="Calibri"/>
                <w:sz w:val="22"/>
              </w:rPr>
              <w:t>Jun 24, 2026 (Trough)</w:t>
            </w:r>
          </w:p>
        </w:tc>
        <w:tc>
          <w:tcPr>
            <w:tcW w:type="dxa" w:w="2160"/>
          </w:tcPr>
          <w:p>
            <w:r>
              <w:rPr>
                <w:rFonts w:ascii="Calibri" w:hAnsi="Calibri"/>
                <w:sz w:val="22"/>
              </w:rPr>
              <w:t>113.1</w:t>
            </w:r>
          </w:p>
        </w:tc>
        <w:tc>
          <w:tcPr>
            <w:tcW w:type="dxa" w:w="2160"/>
          </w:tcPr>
          <w:p>
            <w:r>
              <w:rPr>
                <w:rFonts w:ascii="Calibri" w:hAnsi="Calibri"/>
                <w:sz w:val="22"/>
              </w:rPr>
              <w:t>98.5</w:t>
            </w:r>
          </w:p>
        </w:tc>
        <w:tc>
          <w:tcPr>
            <w:tcW w:type="dxa" w:w="2160"/>
          </w:tcPr>
          <w:p>
            <w:r>
              <w:rPr>
                <w:rFonts w:ascii="Calibri" w:hAnsi="Calibri"/>
                <w:sz w:val="22"/>
              </w:rPr>
              <w:t>103.0</w:t>
            </w:r>
          </w:p>
        </w:tc>
      </w:tr>
      <w:tr>
        <w:tc>
          <w:tcPr>
            <w:tcW w:type="dxa" w:w="2160"/>
          </w:tcPr>
          <w:p>
            <w:r>
              <w:rPr>
                <w:rFonts w:ascii="Calibri" w:hAnsi="Calibri"/>
                <w:sz w:val="22"/>
              </w:rPr>
              <w:t>Jul 21, 2026</w:t>
            </w:r>
          </w:p>
        </w:tc>
        <w:tc>
          <w:tcPr>
            <w:tcW w:type="dxa" w:w="2160"/>
          </w:tcPr>
          <w:p>
            <w:r>
              <w:rPr>
                <w:rFonts w:ascii="Calibri" w:hAnsi="Calibri"/>
                <w:sz w:val="22"/>
              </w:rPr>
              <w:t>116.6</w:t>
            </w:r>
          </w:p>
        </w:tc>
        <w:tc>
          <w:tcPr>
            <w:tcW w:type="dxa" w:w="2160"/>
          </w:tcPr>
          <w:p>
            <w:r>
              <w:rPr>
                <w:rFonts w:ascii="Calibri" w:hAnsi="Calibri"/>
                <w:sz w:val="22"/>
              </w:rPr>
              <w:t>98.3</w:t>
            </w:r>
          </w:p>
        </w:tc>
        <w:tc>
          <w:tcPr>
            <w:tcW w:type="dxa" w:w="2160"/>
          </w:tcPr>
          <w:p>
            <w:r>
              <w:rPr>
                <w:rFonts w:ascii="Calibri" w:hAnsi="Calibri"/>
                <w:sz w:val="22"/>
              </w:rPr>
              <w:t>105.2</w:t>
            </w:r>
          </w:p>
        </w:tc>
      </w:tr>
      <w:tr>
        <w:tc>
          <w:tcPr>
            <w:tcW w:type="dxa" w:w="2160"/>
          </w:tcPr>
          <w:p>
            <w:r>
              <w:rPr>
                <w:rFonts w:ascii="Calibri" w:hAnsi="Calibri"/>
                <w:sz w:val="22"/>
              </w:rPr>
              <w:t>Jul 27, 2026 (Jefferies Upgrade)</w:t>
            </w:r>
          </w:p>
        </w:tc>
        <w:tc>
          <w:tcPr>
            <w:tcW w:type="dxa" w:w="2160"/>
          </w:tcPr>
          <w:p>
            <w:r>
              <w:rPr>
                <w:rFonts w:ascii="Calibri" w:hAnsi="Calibri"/>
                <w:sz w:val="22"/>
              </w:rPr>
              <w:t>120.0</w:t>
            </w:r>
          </w:p>
        </w:tc>
        <w:tc>
          <w:tcPr>
            <w:tcW w:type="dxa" w:w="2160"/>
          </w:tcPr>
          <w:p>
            <w:r>
              <w:rPr>
                <w:rFonts w:ascii="Calibri" w:hAnsi="Calibri"/>
                <w:sz w:val="22"/>
              </w:rPr>
              <w:t>94.9</w:t>
            </w:r>
          </w:p>
        </w:tc>
        <w:tc>
          <w:tcPr>
            <w:tcW w:type="dxa" w:w="2160"/>
          </w:tcPr>
          <w:p>
            <w:r>
              <w:rPr>
                <w:rFonts w:ascii="Calibri" w:hAnsi="Calibri"/>
                <w:sz w:val="22"/>
              </w:rPr>
              <w:t>103.9</w:t>
            </w:r>
          </w:p>
        </w:tc>
      </w:tr>
      <w:tr>
        <w:tc>
          <w:tcPr>
            <w:tcW w:type="dxa" w:w="2160"/>
          </w:tcPr>
          <w:p>
            <w:r>
              <w:rPr>
                <w:rFonts w:ascii="Calibri" w:hAnsi="Calibri"/>
                <w:sz w:val="22"/>
              </w:rPr>
              <w:t>Jul 28, 2026 (Today)</w:t>
            </w:r>
          </w:p>
        </w:tc>
        <w:tc>
          <w:tcPr>
            <w:tcW w:type="dxa" w:w="2160"/>
          </w:tcPr>
          <w:p>
            <w:r>
              <w:rPr>
                <w:rFonts w:ascii="Calibri" w:hAnsi="Calibri"/>
                <w:sz w:val="22"/>
              </w:rPr>
              <w:t>120.0</w:t>
            </w:r>
          </w:p>
        </w:tc>
        <w:tc>
          <w:tcPr>
            <w:tcW w:type="dxa" w:w="2160"/>
          </w:tcPr>
          <w:p>
            <w:r>
              <w:rPr>
                <w:rFonts w:ascii="Calibri" w:hAnsi="Calibri"/>
                <w:sz w:val="22"/>
              </w:rPr>
              <w:t>94.9</w:t>
            </w:r>
          </w:p>
        </w:tc>
        <w:tc>
          <w:tcPr>
            <w:tcW w:type="dxa" w:w="2160"/>
          </w:tcPr>
          <w:p>
            <w:r>
              <w:rPr>
                <w:rFonts w:ascii="Calibri" w:hAnsi="Calibri"/>
                <w:sz w:val="22"/>
              </w:rPr>
              <w:t>103.9</w:t>
            </w:r>
          </w:p>
        </w:tc>
      </w:tr>
    </w:tbl>
    <w:p>
      <w:r>
        <w:rPr>
          <w:rFonts w:ascii="Calibri" w:hAnsi="Calibri"/>
          <w:b/>
          <w:color w:val="525866"/>
          <w:sz w:val="22"/>
        </w:rPr>
        <w:t xml:space="preserve">Valuation Context: </w:t>
      </w:r>
      <w:r>
        <w:rPr>
          <w:rFonts w:ascii="Calibri" w:hAnsi="Calibri"/>
          <w:i/>
          <w:color w:val="525866"/>
          <w:sz w:val="22"/>
        </w:rPr>
        <w:t>NTM P/E: 8.0x | EV/EBITDA: 10.1x | P/Sales: 0.30x | P/FCF: 14.3x. Over the past 12 months, F’s +30.5% price gain has been driven almost entirely by P/Book expansion (+44.6%) and P/Sales expansion (+17.7%), while EV/EBITDA has actually contracted (-8.7%) and P/E has contracted (-10.7%), suggesting the re-rating is sentiment/recovery-driven rather than earnings-driven. Source: Stock Price Data (Yahoo Finance); Valuation decomposition data from internal performance decomposition tool.</w:t>
      </w:r>
    </w:p>
    <w:p>
      <w:r>
        <w:br w:type="page"/>
      </w:r>
    </w:p>
    <w:p>
      <w:pPr>
        <w:pStyle w:val="Heading1"/>
        <w:pBdr>
          <w:bottom w:val="single" w:sz="4" w:space="1" w:color="FB9120"/>
        </w:pBdr>
      </w:pPr>
      <w:r>
        <w:rPr>
          <w:rFonts w:ascii="Calibri" w:hAnsi="Calibri"/>
          <w:b/>
          <w:color w:val="3B4259"/>
          <w:sz w:val="40"/>
        </w:rPr>
        <w:t>6. Material News &amp; Developments</w:t>
      </w:r>
    </w:p>
    <w:p>
      <w:r>
        <w:rPr>
          <w:rFonts w:ascii="Calibri" w:hAnsi="Calibri"/>
          <w:b/>
          <w:color w:val="525866"/>
          <w:sz w:val="22"/>
        </w:rPr>
        <w:t xml:space="preserve">Key Takeaway: </w:t>
      </w:r>
      <w:r>
        <w:rPr>
          <w:rFonts w:ascii="Calibri" w:hAnsi="Calibri"/>
          <w:color w:val="525866"/>
          <w:sz w:val="22"/>
        </w:rPr>
        <w:t xml:space="preserve">The most important development since Q1 earnings is the </w:t>
      </w:r>
      <w:r>
        <w:rPr>
          <w:rFonts w:ascii="Calibri" w:hAnsi="Calibri"/>
          <w:b/>
          <w:color w:val="525866"/>
          <w:sz w:val="22"/>
        </w:rPr>
        <w:t>Jefferies upgrade to Buy on July 27</w:t>
      </w:r>
      <w:r>
        <w:rPr>
          <w:rFonts w:ascii="Calibri" w:hAnsi="Calibri"/>
          <w:color w:val="525866"/>
          <w:sz w:val="22"/>
        </w:rPr>
        <w:t xml:space="preserve"> — the first major sell-side upgrade ahead of the print — combined with the Ford-Geely Spain JV announcement, which signals management’s willingness to use creative partnerships to address European capacity underutilization.</w:t>
      </w:r>
    </w:p>
    <w:p>
      <w:pPr>
        <w:pStyle w:val="ListBullet"/>
        <w:ind w:left="360" w:hanging="360"/>
      </w:pPr>
      <w:r>
        <w:rPr>
          <w:rFonts w:ascii="Calibri" w:hAnsi="Calibri"/>
          <w:b/>
          <w:color w:val="525866"/>
          <w:sz w:val="22"/>
        </w:rPr>
        <w:t>July 27, 2026 — Jefferies Upgrades F to Buy, PT $17.50:</w:t>
      </w:r>
      <w:r>
        <w:rPr>
          <w:rFonts w:ascii="Calibri" w:hAnsi="Calibri"/>
          <w:color w:val="525866"/>
          <w:sz w:val="22"/>
        </w:rPr>
        <w:t xml:space="preserve"> Jefferies upgraded Ford from Hold to Buy ahead of Q2 earnings, raising its price target to $17.50 (approximately +22% from prior close). The analyst cited Q2 as the likely volume trough and flagged potential for management to raise full-year guidance. Stock rose ~2.8% on the day. Implication: First major sell-side upgrade into the print; adds a sentiment tailwind but also raises the bar for guidance commentary.</w:t>
      </w:r>
    </w:p>
    <w:p>
      <w:pPr>
        <w:pStyle w:val="ListBullet"/>
        <w:ind w:left="360" w:hanging="360"/>
      </w:pPr>
      <w:r>
        <w:rPr>
          <w:rFonts w:ascii="Calibri" w:hAnsi="Calibri"/>
          <w:b/>
          <w:color w:val="525866"/>
          <w:sz w:val="22"/>
        </w:rPr>
        <w:t>July 27, 2026 — Ford Pursuing U.S. Army Tactical Truck Contract:</w:t>
      </w:r>
      <w:r>
        <w:rPr>
          <w:rFonts w:ascii="Calibri" w:hAnsi="Calibri"/>
          <w:color w:val="525866"/>
          <w:sz w:val="22"/>
        </w:rPr>
        <w:t xml:space="preserve"> Ford is competing to build the U.S. Army’s newest tactical truck based on the F-Series heavy-duty pickup, which would serve dual purposes as a vehicle and power source. GM is also competing. Implication: Potential new revenue stream for Ford Pro; aligns with Ford’s defense-related discussions flagged on the Q1 call. Modest near-term financial impact but strategically significant for Ford Pro’s services/government narrative.</w:t>
      </w:r>
    </w:p>
    <w:p>
      <w:pPr>
        <w:pStyle w:val="ListBullet"/>
        <w:ind w:left="360" w:hanging="360"/>
      </w:pPr>
      <w:r>
        <w:rPr>
          <w:rFonts w:ascii="Calibri" w:hAnsi="Calibri"/>
          <w:b/>
          <w:color w:val="525866"/>
          <w:sz w:val="22"/>
        </w:rPr>
        <w:t>July 23, 2026 — Ford-Geely Spain EV Joint Venture Announced:</w:t>
      </w:r>
      <w:r>
        <w:rPr>
          <w:rFonts w:ascii="Calibri" w:hAnsi="Calibri"/>
          <w:color w:val="525866"/>
          <w:sz w:val="22"/>
        </w:rPr>
        <w:t xml:space="preserve"> Ford and Geely Automobile established a joint venture (66% Ford / 34% Geely) to manufacture electric SUVs at Ford’s Valencia, Spain factory. First Geely-brand EVs roll off the line in 2028; Ford’s existing workforce transitions to the JV. Implication: Addresses Ford’s underutilized European capacity while helping Geely comply with EU “Made in Europe” local-content requirements. Consistent with Ford’s strategy of leveraging Renault and Geely platforms for European electrification. Modest near-term P&amp;L impact; strategically positive for European cost structure.</w:t>
      </w:r>
    </w:p>
    <w:p>
      <w:pPr>
        <w:pStyle w:val="ListBullet"/>
        <w:ind w:left="360" w:hanging="360"/>
      </w:pPr>
      <w:r>
        <w:rPr>
          <w:rFonts w:ascii="Calibri" w:hAnsi="Calibri"/>
          <w:b/>
          <w:color w:val="525866"/>
          <w:sz w:val="22"/>
        </w:rPr>
        <w:t>July 2, 2026 — Ford Q2 2026 U.S. Sales Release (8-K):</w:t>
      </w:r>
      <w:r>
        <w:rPr>
          <w:rFonts w:ascii="Calibri" w:hAnsi="Calibri"/>
          <w:color w:val="525866"/>
          <w:sz w:val="22"/>
        </w:rPr>
        <w:t xml:space="preserve"> Ford filed an 8-K announcing its Q2 2026 U.S. sales results. Specific unit figures were not detailed in the filing text, but the release confirms Ford’s U.S. sales cadence for the quarter. Implication: Provides the market with a pre-earnings read on volume; any deviation from the ~1.12M unit consensus would be a key data point.</w:t>
      </w:r>
    </w:p>
    <w:p>
      <w:pPr>
        <w:pStyle w:val="ListBullet"/>
        <w:ind w:left="360" w:hanging="360"/>
      </w:pPr>
      <w:r>
        <w:rPr>
          <w:rFonts w:ascii="Calibri" w:hAnsi="Calibri"/>
          <w:b/>
          <w:color w:val="525866"/>
          <w:sz w:val="22"/>
        </w:rPr>
        <w:t>April 29, 2026 — Q1 2026 Earnings: Guidance Raised, IEEPA Benefit Recognized:</w:t>
      </w:r>
      <w:r>
        <w:rPr>
          <w:rFonts w:ascii="Calibri" w:hAnsi="Calibri"/>
          <w:color w:val="525866"/>
          <w:sz w:val="22"/>
        </w:rPr>
        <w:t xml:space="preserve"> Ford reported Q1 revenue of $43.3B and adjusted EBIT of $3.5B ($2.2B ex-IEEPA). Full-year adjusted EBIT guidance raised to $8.5B–$10.5B; Ford Blue guidance raised $500M to $4.5B–$5.0B. Novelis hot mill restart confirmed for May. Implication: Sets the baseline for Q2 expectations; the non-repeat of the $1.3B IEEPA benefit is the primary reason Q2 consensus is ~$0.35 vs. Q1’s $0.66.</w:t>
      </w:r>
    </w:p>
    <w:p>
      <w:pPr>
        <w:pStyle w:val="ListBullet"/>
        <w:ind w:left="360" w:hanging="360"/>
      </w:pPr>
      <w:r>
        <w:rPr>
          <w:rFonts w:ascii="Calibri" w:hAnsi="Calibri"/>
          <w:b/>
          <w:color w:val="525866"/>
          <w:sz w:val="22"/>
        </w:rPr>
        <w:t>April 15, 2026 — Doug Field Departure Announced (8-K):</w:t>
      </w:r>
      <w:r>
        <w:rPr>
          <w:rFonts w:ascii="Calibri" w:hAnsi="Calibri"/>
          <w:color w:val="525866"/>
          <w:sz w:val="22"/>
        </w:rPr>
        <w:t xml:space="preserve"> Ford’s Chief EV, Digital, and Design Officer J. Douglas Field departed. COO Kumar Galhotra assumed unified leadership of the new “Product Creation and Industrialization” organization. Implication: Marks the end of the capability-building phase for EV/digital; signals Ford is now in execution/scale mode. Reduces organizational complexity but removes a key EV architect.</w:t>
      </w:r>
    </w:p>
    <w:p>
      <w:pPr>
        <w:pStyle w:val="ListBullet"/>
        <w:ind w:left="360" w:hanging="360"/>
      </w:pPr>
      <w:r>
        <w:rPr>
          <w:rFonts w:ascii="Calibri" w:hAnsi="Calibri"/>
          <w:b/>
          <w:color w:val="525866"/>
          <w:sz w:val="22"/>
        </w:rPr>
        <w:t>April 15, 2026 — Ford Extends $21B Credit Facilities (8-K):</w:t>
      </w:r>
      <w:r>
        <w:rPr>
          <w:rFonts w:ascii="Calibri" w:hAnsi="Calibri"/>
          <w:color w:val="525866"/>
          <w:sz w:val="22"/>
        </w:rPr>
        <w:t xml:space="preserve"> Ford successfully extended the maturity on $21 billion in credit facilities. Implication: Strengthens liquidity runway ahead of heavy UEV/Ford Energy investment cycle; reduces refinancing risk through the 2027 launch period.</w:t>
      </w:r>
    </w:p>
    <w:p>
      <w:pPr>
        <w:pStyle w:val="ListBullet"/>
        <w:ind w:left="360" w:hanging="360"/>
      </w:pPr>
      <w:r>
        <w:rPr>
          <w:rFonts w:ascii="Calibri" w:hAnsi="Calibri"/>
          <w:b/>
          <w:color w:val="525866"/>
          <w:sz w:val="22"/>
        </w:rPr>
        <w:t>Ongoing — USMCA Renegotiation Risk:</w:t>
      </w:r>
      <w:r>
        <w:rPr>
          <w:rFonts w:ascii="Calibri" w:hAnsi="Calibri"/>
          <w:color w:val="525866"/>
          <w:sz w:val="22"/>
        </w:rPr>
        <w:t xml:space="preserve"> The Trump administration has proposed raising USMCA regional content to 82% (from 75%) with a 50% U.S.-specific content floor; Canada excluded from current bilateral U.S.-Mexico talks. Ford CFO confirmed no clarity on final content requirements. Separately, Trump threatened 50% tariffs on Canadian goods (July 20). Implication: Ford’s Canadian production (Oakville Super Duty) is directly exposed; any escalation could pressure H2 guidance and force supply chain onshoring investment.</w:t>
      </w:r>
    </w:p>
    <w:p>
      <w:pPr>
        <w:pStyle w:val="ListBullet"/>
        <w:ind w:left="360" w:hanging="360"/>
      </w:pPr>
      <w:r>
        <w:rPr>
          <w:rFonts w:ascii="Calibri" w:hAnsi="Calibri"/>
          <w:b/>
          <w:color w:val="525866"/>
          <w:sz w:val="22"/>
        </w:rPr>
        <w:t>Ongoing — Commodity Headwinds (Aluminum, DRAM):</w:t>
      </w:r>
      <w:r>
        <w:rPr>
          <w:rFonts w:ascii="Calibri" w:hAnsi="Calibri"/>
          <w:color w:val="525866"/>
          <w:sz w:val="22"/>
        </w:rPr>
        <w:t xml:space="preserve"> Ford guided to $2B+ in commodity headwinds for FY 2026 (raised $1B at Q1 call), driven by higher aluminum pricing from global supply constraints. GM’s Q2 call confirmed commodity inflation (including logistics and DRAM) as a $1.5B–$2.0B headwind for the full year, with H2 costs accelerating. Implication: Shared industry headwind; any update from Ford on commodity trajectory will be closely watched.</w:t>
      </w:r>
    </w:p>
    <w:p>
      <w:r>
        <w:br w:type="page"/>
      </w:r>
    </w:p>
    <w:p>
      <w:pPr>
        <w:pStyle w:val="Heading1"/>
        <w:pBdr>
          <w:bottom w:val="single" w:sz="4" w:space="1" w:color="FB9120"/>
        </w:pBdr>
      </w:pPr>
      <w:r>
        <w:rPr>
          <w:rFonts w:ascii="Calibri" w:hAnsi="Calibri"/>
          <w:b/>
          <w:color w:val="3B4259"/>
          <w:sz w:val="40"/>
        </w:rPr>
        <w:t>7. Peer Commentaries &amp; Read-Throughs (Last 60 Days)</w:t>
      </w:r>
    </w:p>
    <w:p>
      <w:r>
        <w:rPr>
          <w:rFonts w:ascii="Calibri" w:hAnsi="Calibri"/>
          <w:b/>
          <w:color w:val="525866"/>
          <w:sz w:val="22"/>
        </w:rPr>
        <w:t xml:space="preserve">Key Takeaway: </w:t>
      </w:r>
      <w:r>
        <w:rPr>
          <w:rFonts w:ascii="Calibri" w:hAnsi="Calibri"/>
          <w:color w:val="525866"/>
          <w:sz w:val="22"/>
        </w:rPr>
        <w:t xml:space="preserve">GM’s Q2 2026 results are the most directly relevant read-through — </w:t>
      </w:r>
      <w:r>
        <w:rPr>
          <w:rFonts w:ascii="Calibri" w:hAnsi="Calibri"/>
          <w:b/>
          <w:color w:val="525866"/>
          <w:sz w:val="22"/>
        </w:rPr>
        <w:t>steady North American truck/SUV demand, disciplined pricing, and a second guidance raise</w:t>
      </w:r>
      <w:r>
        <w:rPr>
          <w:rFonts w:ascii="Calibri" w:hAnsi="Calibri"/>
          <w:color w:val="525866"/>
          <w:sz w:val="22"/>
        </w:rPr>
        <w:t xml:space="preserve"> are all constructive signals for Ford’s Q2 print. Tesla’s Q2 commentary is less directly applicable but confirms a global EV demand recovery and ongoing energy storage growth, both relevant to Ford’s Model e and Ford Energy narratives.</w:t>
      </w:r>
    </w:p>
    <w:p>
      <w:r>
        <w:rPr>
          <w:rFonts w:ascii="Calibri" w:hAnsi="Calibri"/>
          <w:i/>
          <w:color w:val="525866"/>
          <w:sz w:val="22"/>
        </w:rPr>
        <w:t>Scope: Only GM and TSLA Q2 2026 commentary released within the last 60 days (i.e., after May 28, 2026) that pertains to Ford’s Q2 2026 reporting period or the forward outlook relevant to Ford’s H2 2026 guidance. Prior-quarter peer commentary (e.g., GM Q1 2026 results) is excluded. Reported Q2 facts are clearly separated from forward-looking commentary.</w:t>
      </w:r>
    </w:p>
    <w:p>
      <w:pPr>
        <w:pStyle w:val="Heading2"/>
      </w:pPr>
      <w:r>
        <w:rPr>
          <w:rFonts w:ascii="Calibri" w:hAnsi="Calibri"/>
          <w:b/>
          <w:color w:val="3B4259"/>
          <w:sz w:val="28"/>
        </w:rPr>
        <w:t>7A. General Motors (GM) — Q2 2026 Earnings (July 21, 2026)</w:t>
      </w:r>
    </w:p>
    <w:p>
      <w:pPr>
        <w:pStyle w:val="Heading3"/>
      </w:pPr>
      <w:r>
        <w:rPr>
          <w:rFonts w:ascii="Calibri" w:hAnsi="Calibri"/>
          <w:b/>
          <w:color w:val="3B4259"/>
          <w:sz w:val="24"/>
        </w:rPr>
        <w:t>Q2 2026 Reported Facts (Read-Through to Ford Q2)</w:t>
      </w:r>
    </w:p>
    <w:p>
      <w:pPr>
        <w:pStyle w:val="ListBullet"/>
        <w:ind w:left="360" w:hanging="360"/>
      </w:pPr>
      <w:r>
        <w:rPr>
          <w:rFonts w:ascii="Calibri" w:hAnsi="Calibri"/>
          <w:b/>
          <w:color w:val="525866"/>
          <w:sz w:val="22"/>
        </w:rPr>
        <w:t>North American Truck/SUV Demand Remained Steady:</w:t>
      </w:r>
      <w:r>
        <w:rPr>
          <w:rFonts w:ascii="Calibri" w:hAnsi="Calibri"/>
          <w:color w:val="525866"/>
          <w:sz w:val="22"/>
        </w:rPr>
        <w:t xml:space="preserve"> GM reported Q2 total company revenue of $48B (+$900M YoY), with North American EBIT-adjusted of $3.4B and a margin of 8.6% (+2.5 pts YoY). Customer demand for pickups and SUVs remained steady, with GM’s U.S. full-size pickup market share exceeding 42% through H1 and growing YoY in both Q2 and H1. U.S. dealer inventory ended Q2 at 511K units (~55 days supply), within the 50–60 day target. </w:t>
      </w:r>
      <w:r>
        <w:rPr>
          <w:rFonts w:ascii="Calibri" w:hAnsi="Calibri"/>
          <w:b/>
          <w:color w:val="525866"/>
          <w:sz w:val="22"/>
        </w:rPr>
        <w:t>Read-through for Ford:</w:t>
      </w:r>
      <w:r>
        <w:rPr>
          <w:rFonts w:ascii="Calibri" w:hAnsi="Calibri"/>
          <w:color w:val="525866"/>
          <w:sz w:val="22"/>
        </w:rPr>
        <w:t xml:space="preserve"> Confirms healthy North American truck/SUV demand environment heading into Ford’s Q2 print. Ford’s F-Series franchise should benefit from the same demand backdrop; inventory discipline (Ford targets 55–65 days) appears consistent with GM’s experience.</w:t>
      </w:r>
    </w:p>
    <w:p>
      <w:pPr>
        <w:pStyle w:val="ListBullet"/>
        <w:ind w:left="360" w:hanging="360"/>
      </w:pPr>
      <w:r>
        <w:rPr>
          <w:rFonts w:ascii="Calibri" w:hAnsi="Calibri"/>
          <w:b/>
          <w:color w:val="525866"/>
          <w:sz w:val="22"/>
        </w:rPr>
        <w:t>Pricing Discipline Maintained:</w:t>
      </w:r>
      <w:r>
        <w:rPr>
          <w:rFonts w:ascii="Calibri" w:hAnsi="Calibri"/>
          <w:color w:val="525866"/>
          <w:sz w:val="22"/>
        </w:rPr>
        <w:t xml:space="preserve"> GM’s U.S. incentive spend ran 1.5–2 points below the industry average in H1, contributing to a 1.8-point improvement in total company margin YoY. Full-year North America pricing now expected up ~0.5% (high end of prior guidance). </w:t>
      </w:r>
      <w:r>
        <w:rPr>
          <w:rFonts w:ascii="Calibri" w:hAnsi="Calibri"/>
          <w:b/>
          <w:color w:val="525866"/>
          <w:sz w:val="22"/>
        </w:rPr>
        <w:t>Read-through for Ford:</w:t>
      </w:r>
      <w:r>
        <w:rPr>
          <w:rFonts w:ascii="Calibri" w:hAnsi="Calibri"/>
          <w:color w:val="525866"/>
          <w:sz w:val="22"/>
        </w:rPr>
        <w:t xml:space="preserve"> Positive signal for Ford’s pricing assumptions. Ford guided to flat industry pricing for FY 2026; GM’s actual experience of modest positive pricing suggests Ford’s assumption may prove conservative, creating potential upside.</w:t>
      </w:r>
    </w:p>
    <w:p>
      <w:pPr>
        <w:pStyle w:val="ListBullet"/>
        <w:ind w:left="360" w:hanging="360"/>
      </w:pPr>
      <w:r>
        <w:rPr>
          <w:rFonts w:ascii="Calibri" w:hAnsi="Calibri"/>
          <w:b/>
          <w:color w:val="525866"/>
          <w:sz w:val="22"/>
        </w:rPr>
        <w:t>U.S. SAAR Tracking Low-16M Range:</w:t>
      </w:r>
      <w:r>
        <w:rPr>
          <w:rFonts w:ascii="Calibri" w:hAnsi="Calibri"/>
          <w:color w:val="525866"/>
          <w:sz w:val="22"/>
        </w:rPr>
        <w:t xml:space="preserve"> GM confirmed U.S. total SAAR running in the low-16M unit range YTD, consistent with its full-year assumption. </w:t>
      </w:r>
      <w:r>
        <w:rPr>
          <w:rFonts w:ascii="Calibri" w:hAnsi="Calibri"/>
          <w:b/>
          <w:color w:val="525866"/>
          <w:sz w:val="22"/>
        </w:rPr>
        <w:t>Read-through for Ford:</w:t>
      </w:r>
      <w:r>
        <w:rPr>
          <w:rFonts w:ascii="Calibri" w:hAnsi="Calibri"/>
          <w:color w:val="525866"/>
          <w:sz w:val="22"/>
        </w:rPr>
        <w:t xml:space="preserve"> Directly validates Ford’s 16.0M–16.5M SAAR assumption for FY 2026. No demand shock evident in the data.</w:t>
      </w:r>
    </w:p>
    <w:p>
      <w:pPr>
        <w:pStyle w:val="ListBullet"/>
        <w:ind w:left="360" w:hanging="360"/>
      </w:pPr>
      <w:r>
        <w:rPr>
          <w:rFonts w:ascii="Calibri" w:hAnsi="Calibri"/>
          <w:b/>
          <w:color w:val="525866"/>
          <w:sz w:val="22"/>
        </w:rPr>
        <w:t>Fleet Sales Strong, Without Margin Dilution:</w:t>
      </w:r>
      <w:r>
        <w:rPr>
          <w:rFonts w:ascii="Calibri" w:hAnsi="Calibri"/>
          <w:color w:val="525866"/>
          <w:sz w:val="22"/>
        </w:rPr>
        <w:t xml:space="preserve"> GM reported its best H1 fleet sales in over five years, including record full-size pickup fleet deliveries and highest government sales since 2009, with fleet growth occurring without diluting margin YoY. </w:t>
      </w:r>
      <w:r>
        <w:rPr>
          <w:rFonts w:ascii="Calibri" w:hAnsi="Calibri"/>
          <w:b/>
          <w:color w:val="525866"/>
          <w:sz w:val="22"/>
        </w:rPr>
        <w:t>Read-through for Ford:</w:t>
      </w:r>
      <w:r>
        <w:rPr>
          <w:rFonts w:ascii="Calibri" w:hAnsi="Calibri"/>
          <w:color w:val="525866"/>
          <w:sz w:val="22"/>
        </w:rPr>
        <w:t xml:space="preserve"> Ford Pro’s commercial fleet business should benefit from the same government/commercial demand tailwind. Ford’s Q1 call noted strong 2026 fleet orders and positive early 2027 model year order book indicators.</w:t>
      </w:r>
    </w:p>
    <w:p>
      <w:pPr>
        <w:pStyle w:val="ListBullet"/>
        <w:ind w:left="360" w:hanging="360"/>
      </w:pPr>
      <w:r>
        <w:rPr>
          <w:rFonts w:ascii="Calibri" w:hAnsi="Calibri"/>
          <w:b/>
          <w:color w:val="525866"/>
          <w:sz w:val="22"/>
        </w:rPr>
        <w:t>Commodity Inflation Accelerating in H2:</w:t>
      </w:r>
      <w:r>
        <w:rPr>
          <w:rFonts w:ascii="Calibri" w:hAnsi="Calibri"/>
          <w:color w:val="525866"/>
          <w:sz w:val="22"/>
        </w:rPr>
        <w:t xml:space="preserve"> GM realized ~$600M in commodity costs (including logistics and DRAM) in H1, with the headwind expected to increase in H2 (full-year guidance: $1.5B–$2.0B). </w:t>
      </w:r>
      <w:r>
        <w:rPr>
          <w:rFonts w:ascii="Calibri" w:hAnsi="Calibri"/>
          <w:b/>
          <w:color w:val="525866"/>
          <w:sz w:val="22"/>
        </w:rPr>
        <w:t>Read-through for Ford:</w:t>
      </w:r>
      <w:r>
        <w:rPr>
          <w:rFonts w:ascii="Calibri" w:hAnsi="Calibri"/>
          <w:color w:val="525866"/>
          <w:sz w:val="22"/>
        </w:rPr>
        <w:t xml:space="preserve"> Confirms Ford’s own $2B+ commodity headwind guidance is directionally consistent with industry experience. H2 commodity acceleration is a shared risk; Ford’s aluminum exposure (Novelis ramp) adds an additional layer.</w:t>
      </w:r>
    </w:p>
    <w:p>
      <w:pPr>
        <w:pStyle w:val="ListBullet"/>
        <w:ind w:left="360" w:hanging="360"/>
      </w:pPr>
      <w:r>
        <w:rPr>
          <w:rFonts w:ascii="Calibri" w:hAnsi="Calibri"/>
          <w:b/>
          <w:color w:val="525866"/>
          <w:sz w:val="22"/>
        </w:rPr>
        <w:t>EV Strategic Realignment Charges ($2.3B in Q2):</w:t>
      </w:r>
      <w:r>
        <w:rPr>
          <w:rFonts w:ascii="Calibri" w:hAnsi="Calibri"/>
          <w:color w:val="525866"/>
          <w:sz w:val="22"/>
        </w:rPr>
        <w:t xml:space="preserve"> GM recorded $2.3B in incremental EV-related restructuring charges in Q2 ($900M supplier cash, $700M battery JV rightsizing, $700M non-cash write-offs). Total EV charges since H2 2025: $10.9B. </w:t>
      </w:r>
      <w:r>
        <w:rPr>
          <w:rFonts w:ascii="Calibri" w:hAnsi="Calibri"/>
          <w:b/>
          <w:color w:val="525866"/>
          <w:sz w:val="22"/>
        </w:rPr>
        <w:t>Read-through for Ford:</w:t>
      </w:r>
      <w:r>
        <w:rPr>
          <w:rFonts w:ascii="Calibri" w:hAnsi="Calibri"/>
          <w:color w:val="525866"/>
          <w:sz w:val="22"/>
        </w:rPr>
        <w:t xml:space="preserve"> GM’s aggressive EV capacity rightsizing contrasts with Ford’s more measured approach (UEV platform launch 2027, Ford Energy ramp). Ford’s Model e losses are guided at $4.0B–$4.5B for FY 2026 — a known, managed headwind rather than a restructuring event. GM’s charges are excluded from EBIT-adjusted and should not create a direct read-through to Ford’s reported numbers.</w:t>
      </w:r>
    </w:p>
    <w:p>
      <w:pPr>
        <w:pStyle w:val="ListBullet"/>
        <w:ind w:left="360" w:hanging="360"/>
      </w:pPr>
      <w:r>
        <w:rPr>
          <w:rFonts w:ascii="Calibri" w:hAnsi="Calibri"/>
          <w:b/>
          <w:color w:val="525866"/>
          <w:sz w:val="22"/>
        </w:rPr>
        <w:t>Warranty Improvement Tracking $1.0B–$1.5B YoY:</w:t>
      </w:r>
      <w:r>
        <w:rPr>
          <w:rFonts w:ascii="Calibri" w:hAnsi="Calibri"/>
          <w:color w:val="525866"/>
          <w:sz w:val="22"/>
        </w:rPr>
        <w:t xml:space="preserve"> GM reported $500M in warranty improvement in H1, with most of the remaining benefit expected in Q3. Full-year warranty improvement now guided at $1.0B–$1.5B (above prior $1.0B assumption). </w:t>
      </w:r>
      <w:r>
        <w:rPr>
          <w:rFonts w:ascii="Calibri" w:hAnsi="Calibri"/>
          <w:b/>
          <w:color w:val="525866"/>
          <w:sz w:val="22"/>
        </w:rPr>
        <w:t>Read-through for Ford:</w:t>
      </w:r>
      <w:r>
        <w:rPr>
          <w:rFonts w:ascii="Calibri" w:hAnsi="Calibri"/>
          <w:color w:val="525866"/>
          <w:sz w:val="22"/>
        </w:rPr>
        <w:t xml:space="preserve"> Ford is also targeting $1B+ in material and warranty cost improvements for FY 2026. GM’s better-than-expected warranty trajectory is a positive read-through for Ford’s own cost reduction program.</w:t>
      </w:r>
    </w:p>
    <w:p>
      <w:pPr>
        <w:pStyle w:val="Heading3"/>
      </w:pPr>
      <w:r>
        <w:rPr>
          <w:rFonts w:ascii="Calibri" w:hAnsi="Calibri"/>
          <w:b/>
          <w:color w:val="3B4259"/>
          <w:sz w:val="24"/>
        </w:rPr>
        <w:t>GM Forward Commentary (Relevant to Ford H2 2026 Outlook)</w:t>
      </w:r>
    </w:p>
    <w:p>
      <w:pPr>
        <w:pStyle w:val="ListBullet"/>
        <w:ind w:left="360" w:hanging="360"/>
      </w:pPr>
      <w:r>
        <w:rPr>
          <w:rFonts w:ascii="Calibri" w:hAnsi="Calibri"/>
          <w:b/>
          <w:color w:val="525866"/>
          <w:sz w:val="22"/>
        </w:rPr>
        <w:t>Second Guidance Raise for FY 2026:</w:t>
      </w:r>
      <w:r>
        <w:rPr>
          <w:rFonts w:ascii="Calibri" w:hAnsi="Calibri"/>
          <w:color w:val="525866"/>
          <w:sz w:val="22"/>
        </w:rPr>
        <w:t xml:space="preserve"> GM raised full-year EBIT-adjusted guidance to $14.0B–$16.0B (from $13.5B–$15.5B) and adj. automotive FCF to $9.5B–$11.5B (from $9.0B–$11.0B). </w:t>
      </w:r>
      <w:r>
        <w:rPr>
          <w:rFonts w:ascii="Calibri" w:hAnsi="Calibri"/>
          <w:b/>
          <w:color w:val="525866"/>
          <w:sz w:val="22"/>
        </w:rPr>
        <w:t>Read-through for Ford:</w:t>
      </w:r>
      <w:r>
        <w:rPr>
          <w:rFonts w:ascii="Calibri" w:hAnsi="Calibri"/>
          <w:color w:val="525866"/>
          <w:sz w:val="22"/>
        </w:rPr>
        <w:t xml:space="preserve"> GM’s second guidance raise in 2026 is a strong positive read-through for Ford’s potential to maintain or raise its own $8.5B–$10.5B EBIT guidance. Jefferies specifically cited guidance raise potential as a catalyst for the Ford upgrade.</w:t>
      </w:r>
    </w:p>
    <w:p>
      <w:pPr>
        <w:pStyle w:val="ListBullet"/>
        <w:ind w:left="360" w:hanging="360"/>
      </w:pPr>
      <w:r>
        <w:rPr>
          <w:rFonts w:ascii="Calibri" w:hAnsi="Calibri"/>
          <w:b/>
          <w:color w:val="525866"/>
          <w:sz w:val="22"/>
        </w:rPr>
        <w:t>Q4 2026 Expected Weaker Due to Truck Launch:</w:t>
      </w:r>
      <w:r>
        <w:rPr>
          <w:rFonts w:ascii="Calibri" w:hAnsi="Calibri"/>
          <w:color w:val="525866"/>
          <w:sz w:val="22"/>
        </w:rPr>
        <w:t xml:space="preserve"> GM guided Q4 to be “somewhat weaker than typical seasonal patterns” due to the launch of next-gen Silverado/Sierra at three assembly plants, with a ~35K unit volume headwind and higher launch costs. Onshoring costs also build in Q4. </w:t>
      </w:r>
      <w:r>
        <w:rPr>
          <w:rFonts w:ascii="Calibri" w:hAnsi="Calibri"/>
          <w:b/>
          <w:color w:val="525866"/>
          <w:sz w:val="22"/>
        </w:rPr>
        <w:t>Read-through for Ford:</w:t>
      </w:r>
      <w:r>
        <w:rPr>
          <w:rFonts w:ascii="Calibri" w:hAnsi="Calibri"/>
          <w:color w:val="525866"/>
          <w:sz w:val="22"/>
        </w:rPr>
        <w:t xml:space="preserve"> Ford faces its own H2 investment ramp (BASS, UEV, Oakville), but does not have a major truck launch in Q4 2026. Ford’s H2 headwinds are investment-driven rather than launch-driven, which may make Ford’s H2 cadence more predictable than GM’s.</w:t>
      </w:r>
    </w:p>
    <w:p>
      <w:pPr>
        <w:pStyle w:val="ListBullet"/>
        <w:ind w:left="360" w:hanging="360"/>
      </w:pPr>
      <w:r>
        <w:rPr>
          <w:rFonts w:ascii="Calibri" w:hAnsi="Calibri"/>
          <w:b/>
          <w:color w:val="525866"/>
          <w:sz w:val="22"/>
        </w:rPr>
        <w:t>Gross Tariff Costs ~$900M/Quarter in Q3 and Q4:</w:t>
      </w:r>
      <w:r>
        <w:rPr>
          <w:rFonts w:ascii="Calibri" w:hAnsi="Calibri"/>
          <w:color w:val="525866"/>
          <w:sz w:val="22"/>
        </w:rPr>
        <w:t xml:space="preserve"> GM expects gross tariff costs of $2.5B–$3.5B for FY 2026, with Q3 and Q4 each running ~$900M (similar to Q2). </w:t>
      </w:r>
      <w:r>
        <w:rPr>
          <w:rFonts w:ascii="Calibri" w:hAnsi="Calibri"/>
          <w:b/>
          <w:color w:val="525866"/>
          <w:sz w:val="22"/>
        </w:rPr>
        <w:t>Read-through for Ford:</w:t>
      </w:r>
      <w:r>
        <w:rPr>
          <w:rFonts w:ascii="Calibri" w:hAnsi="Calibri"/>
          <w:color w:val="525866"/>
          <w:sz w:val="22"/>
        </w:rPr>
        <w:t xml:space="preserve"> Ford’s ongoing tariff impact is guided at ~$1B for FY 2026 (run-rate, ex-IEEPA). GM’s larger absolute tariff exposure reflects its higher non-U.S. production mix. Ford’s tariff run-rate appears more contained, but USMCA renegotiation remains a tail risk.</w:t>
      </w:r>
    </w:p>
    <w:p>
      <w:pPr>
        <w:pStyle w:val="ListBullet"/>
        <w:ind w:left="360" w:hanging="360"/>
      </w:pPr>
      <w:r>
        <w:rPr>
          <w:rFonts w:ascii="Calibri" w:hAnsi="Calibri"/>
          <w:b/>
          <w:color w:val="525866"/>
          <w:sz w:val="22"/>
        </w:rPr>
        <w:t>Software &amp; Services Revenue Growing Rapidly:</w:t>
      </w:r>
      <w:r>
        <w:rPr>
          <w:rFonts w:ascii="Calibri" w:hAnsi="Calibri"/>
          <w:color w:val="525866"/>
          <w:sz w:val="22"/>
        </w:rPr>
        <w:t xml:space="preserve"> GM expects 1M new subscriptions in 2026, contributing to $3B+ in recognized revenue. Deferred revenue reached $6.3B (+50% YoY). Super Cruise to become standard on high-end Silverado/Sierra trims in 2027, adding ~160K incremental units. </w:t>
      </w:r>
      <w:r>
        <w:rPr>
          <w:rFonts w:ascii="Calibri" w:hAnsi="Calibri"/>
          <w:b/>
          <w:color w:val="525866"/>
          <w:sz w:val="22"/>
        </w:rPr>
        <w:t>Read-through for Ford:</w:t>
      </w:r>
      <w:r>
        <w:rPr>
          <w:rFonts w:ascii="Calibri" w:hAnsi="Calibri"/>
          <w:color w:val="525866"/>
          <w:sz w:val="22"/>
        </w:rPr>
        <w:t xml:space="preserve"> Ford Pro’s paid software subscriptions reached 879K in Q1 2026 (+30% YoY). GM’s strong software/services trajectory validates the industry shift toward recurring revenue and supports Ford’s Ford Pro services narrative.</w:t>
      </w:r>
    </w:p>
    <w:p>
      <w:pPr>
        <w:pStyle w:val="Heading2"/>
      </w:pPr>
      <w:r>
        <w:rPr>
          <w:rFonts w:ascii="Calibri" w:hAnsi="Calibri"/>
          <w:b/>
          <w:color w:val="3B4259"/>
          <w:sz w:val="28"/>
        </w:rPr>
        <w:t>7B. Tesla (TSLA) — Q2 2026 Earnings (July 22, 2026)</w:t>
      </w:r>
    </w:p>
    <w:p>
      <w:r>
        <w:rPr>
          <w:rFonts w:ascii="Calibri" w:hAnsi="Calibri"/>
          <w:i/>
          <w:color w:val="525866"/>
          <w:sz w:val="22"/>
        </w:rPr>
        <w:t>Note: Tesla’s business model differs materially from Ford’s (direct-to-consumer, software-first, robotaxi/AI focus). Read-throughs are limited to areas of direct overlap: EV demand environment, energy storage, and tariff/commodity cost dynamics.</w:t>
      </w:r>
    </w:p>
    <w:p>
      <w:pPr>
        <w:pStyle w:val="Heading3"/>
      </w:pPr>
      <w:r>
        <w:rPr>
          <w:rFonts w:ascii="Calibri" w:hAnsi="Calibri"/>
          <w:b/>
          <w:color w:val="3B4259"/>
          <w:sz w:val="24"/>
        </w:rPr>
        <w:t>Q2 2026 Reported Facts (Read-Through to Ford Q2)</w:t>
      </w:r>
    </w:p>
    <w:p>
      <w:pPr>
        <w:pStyle w:val="ListBullet"/>
        <w:ind w:left="360" w:hanging="360"/>
      </w:pPr>
      <w:r>
        <w:rPr>
          <w:rFonts w:ascii="Calibri" w:hAnsi="Calibri"/>
          <w:b/>
          <w:color w:val="525866"/>
          <w:sz w:val="22"/>
        </w:rPr>
        <w:t>Global EV Demand Recovery — Record Q2 Deliveries:</w:t>
      </w:r>
      <w:r>
        <w:rPr>
          <w:rFonts w:ascii="Calibri" w:hAnsi="Calibri"/>
          <w:color w:val="525866"/>
          <w:sz w:val="22"/>
        </w:rPr>
        <w:t xml:space="preserve"> Tesla reported record Q2 deliveries globally, with 60% sequential growth in the Americas, 27% in APAC, and 12% in EMEA. Tesla exited Q2 with its largest order backlog since 2023. </w:t>
      </w:r>
      <w:r>
        <w:rPr>
          <w:rFonts w:ascii="Calibri" w:hAnsi="Calibri"/>
          <w:b/>
          <w:color w:val="525866"/>
          <w:sz w:val="22"/>
        </w:rPr>
        <w:t>Read-through for Ford:</w:t>
      </w:r>
      <w:r>
        <w:rPr>
          <w:rFonts w:ascii="Calibri" w:hAnsi="Calibri"/>
          <w:color w:val="525866"/>
          <w:sz w:val="22"/>
        </w:rPr>
        <w:t xml:space="preserve"> Confirms a broad-based global EV demand recovery in Q2 2026. Ford’s Model e segment should benefit from the same demand tailwind, though Ford’s EV portfolio is more limited (Mustang Mach-E, F-150 Lightning) and its losses are driven more by cost structure than volume.</w:t>
      </w:r>
    </w:p>
    <w:p>
      <w:pPr>
        <w:pStyle w:val="ListBullet"/>
        <w:ind w:left="360" w:hanging="360"/>
      </w:pPr>
      <w:r>
        <w:rPr>
          <w:rFonts w:ascii="Calibri" w:hAnsi="Calibri"/>
          <w:b/>
          <w:color w:val="525866"/>
          <w:sz w:val="22"/>
        </w:rPr>
        <w:t>Automotive Gross Margins Declined Sequentially (19.2% → 16.3% ex-credits):</w:t>
      </w:r>
      <w:r>
        <w:rPr>
          <w:rFonts w:ascii="Calibri" w:hAnsi="Calibri"/>
          <w:color w:val="525866"/>
          <w:sz w:val="22"/>
        </w:rPr>
        <w:t xml:space="preserve"> Tesla’s automotive margins (ex-regulatory credits) fell from 19.2% to 16.3% in Q2, driven by the non-repeat of a Q1 warranty/tariff benefit (~$230M) and rising interest rate subvention costs. Controlling for these items, margins were approximately flat. </w:t>
      </w:r>
      <w:r>
        <w:rPr>
          <w:rFonts w:ascii="Calibri" w:hAnsi="Calibri"/>
          <w:b/>
          <w:color w:val="525866"/>
          <w:sz w:val="22"/>
        </w:rPr>
        <w:t>Read-through for Ford:</w:t>
      </w:r>
      <w:r>
        <w:rPr>
          <w:rFonts w:ascii="Calibri" w:hAnsi="Calibri"/>
          <w:color w:val="525866"/>
          <w:sz w:val="22"/>
        </w:rPr>
        <w:t xml:space="preserve"> The non-repeat of one-time benefits is a shared theme with Ford (IEEPA non-repeat). Tesla’s underlying margin stability (ex-one-timers) is modestly positive for the broader EV pricing environment.</w:t>
      </w:r>
    </w:p>
    <w:p>
      <w:pPr>
        <w:pStyle w:val="ListBullet"/>
        <w:ind w:left="360" w:hanging="360"/>
      </w:pPr>
      <w:r>
        <w:rPr>
          <w:rFonts w:ascii="Calibri" w:hAnsi="Calibri"/>
          <w:b/>
          <w:color w:val="525866"/>
          <w:sz w:val="22"/>
        </w:rPr>
        <w:t>Energy Storage Deployment: 13.5 GWh in Q2 (+53% Sequential):</w:t>
      </w:r>
      <w:r>
        <w:rPr>
          <w:rFonts w:ascii="Calibri" w:hAnsi="Calibri"/>
          <w:color w:val="525866"/>
          <w:sz w:val="22"/>
        </w:rPr>
        <w:t xml:space="preserve"> Tesla deployed 13.5 GWh of energy storage in Q2, the second-largest quarter for the energy business. Energy gross margins declined from 39.5% to 20.4%, driven by a ~$240M warranty true-up on legacy deployments, non-repeat of Q1 tariff benefits ($200M+), and declining ASPs for industrial storage amid growing competition. </w:t>
      </w:r>
      <w:r>
        <w:rPr>
          <w:rFonts w:ascii="Calibri" w:hAnsi="Calibri"/>
          <w:b/>
          <w:color w:val="525866"/>
          <w:sz w:val="22"/>
        </w:rPr>
        <w:t>Read-through for Ford:</w:t>
      </w:r>
      <w:r>
        <w:rPr>
          <w:rFonts w:ascii="Calibri" w:hAnsi="Calibri"/>
          <w:color w:val="525866"/>
          <w:sz w:val="22"/>
        </w:rPr>
        <w:t xml:space="preserve"> Ford Energy (BASS) is targeting 20 GWh of capacity by end of 2027. Tesla’s strong deployment volumes validate the energy storage market opportunity, but the margin compression (39.5% → 20.4%) and ASP pressure from competition are cautionary signals for Ford’s energy business economics. Ford’s ITC eligibility for customers is a key differentiator cited by management.</w:t>
      </w:r>
    </w:p>
    <w:p>
      <w:pPr>
        <w:pStyle w:val="ListBullet"/>
        <w:ind w:left="360" w:hanging="360"/>
      </w:pPr>
      <w:r>
        <w:rPr>
          <w:rFonts w:ascii="Calibri" w:hAnsi="Calibri"/>
          <w:b/>
          <w:color w:val="525866"/>
          <w:sz w:val="22"/>
        </w:rPr>
        <w:t>Tariff Benefits Did Not Repeat in Q2:</w:t>
      </w:r>
      <w:r>
        <w:rPr>
          <w:rFonts w:ascii="Calibri" w:hAnsi="Calibri"/>
          <w:color w:val="525866"/>
          <w:sz w:val="22"/>
        </w:rPr>
        <w:t xml:space="preserve"> Tesla recognized $200M+ in tariff benefits in Q1 2026 that did not repeat in Q2, negatively impacting both automotive and energy margins. </w:t>
      </w:r>
      <w:r>
        <w:rPr>
          <w:rFonts w:ascii="Calibri" w:hAnsi="Calibri"/>
          <w:b/>
          <w:color w:val="525866"/>
          <w:sz w:val="22"/>
        </w:rPr>
        <w:t>Read-through for Ford:</w:t>
      </w:r>
      <w:r>
        <w:rPr>
          <w:rFonts w:ascii="Calibri" w:hAnsi="Calibri"/>
          <w:color w:val="525866"/>
          <w:sz w:val="22"/>
        </w:rPr>
        <w:t xml:space="preserve"> Directly mirrors Ford’s situation — the $1.3B IEEPA benefit in Q1 does not repeat in Q2. The non-repeat of tariff benefits is a shared industry dynamic in Q2 2026.</w:t>
      </w:r>
    </w:p>
    <w:p>
      <w:pPr>
        <w:pStyle w:val="ListBullet"/>
        <w:ind w:left="360" w:hanging="360"/>
      </w:pPr>
      <w:r>
        <w:rPr>
          <w:rFonts w:ascii="Calibri" w:hAnsi="Calibri"/>
          <w:b/>
          <w:color w:val="525866"/>
          <w:sz w:val="22"/>
        </w:rPr>
        <w:t>Commodity Costs and Interest Rates Adding to Costs:</w:t>
      </w:r>
      <w:r>
        <w:rPr>
          <w:rFonts w:ascii="Calibri" w:hAnsi="Calibri"/>
          <w:color w:val="525866"/>
          <w:sz w:val="22"/>
        </w:rPr>
        <w:t xml:space="preserve"> Tesla flagged commodity price increases and rising interest rates as ongoing cost headwinds in Q2. Rising subvention costs negatively impacted automotive margins. </w:t>
      </w:r>
      <w:r>
        <w:rPr>
          <w:rFonts w:ascii="Calibri" w:hAnsi="Calibri"/>
          <w:b/>
          <w:color w:val="525866"/>
          <w:sz w:val="22"/>
        </w:rPr>
        <w:t>Read-through for Ford:</w:t>
      </w:r>
      <w:r>
        <w:rPr>
          <w:rFonts w:ascii="Calibri" w:hAnsi="Calibri"/>
          <w:color w:val="525866"/>
          <w:sz w:val="22"/>
        </w:rPr>
        <w:t xml:space="preserve"> Confirms the shared commodity inflation environment. Ford’s $2B+ commodity headwind guidance for FY 2026 is consistent with Tesla’s experience.</w:t>
      </w:r>
    </w:p>
    <w:p>
      <w:pPr>
        <w:pStyle w:val="Heading3"/>
      </w:pPr>
      <w:r>
        <w:rPr>
          <w:rFonts w:ascii="Calibri" w:hAnsi="Calibri"/>
          <w:b/>
          <w:color w:val="3B4259"/>
          <w:sz w:val="24"/>
        </w:rPr>
        <w:t>Tesla Forward Commentary (Relevant to Ford H2 2026 Outlook)</w:t>
      </w:r>
    </w:p>
    <w:p>
      <w:pPr>
        <w:pStyle w:val="ListBullet"/>
        <w:ind w:left="360" w:hanging="360"/>
      </w:pPr>
      <w:r>
        <w:rPr>
          <w:rFonts w:ascii="Calibri" w:hAnsi="Calibri"/>
          <w:b/>
          <w:color w:val="525866"/>
          <w:sz w:val="22"/>
        </w:rPr>
        <w:t>EV Demand Expected to Continue Growing:</w:t>
      </w:r>
      <w:r>
        <w:rPr>
          <w:rFonts w:ascii="Calibri" w:hAnsi="Calibri"/>
          <w:color w:val="525866"/>
          <w:sz w:val="22"/>
        </w:rPr>
        <w:t xml:space="preserve"> Elon Musk stated “this is going to be a great year for Tesla” and that 2027 will be even better. Tesla is focused on increasing production at all factories to meet growing demand, with production growth limited by supply chain (batteries, electronic components). </w:t>
      </w:r>
      <w:r>
        <w:rPr>
          <w:rFonts w:ascii="Calibri" w:hAnsi="Calibri"/>
          <w:b/>
          <w:color w:val="525866"/>
          <w:sz w:val="22"/>
        </w:rPr>
        <w:t>Read-through for Ford:</w:t>
      </w:r>
      <w:r>
        <w:rPr>
          <w:rFonts w:ascii="Calibri" w:hAnsi="Calibri"/>
          <w:color w:val="525866"/>
          <w:sz w:val="22"/>
        </w:rPr>
        <w:t xml:space="preserve"> Positive for Ford’s UEV platform launch in 2027 and Model e trajectory. A sustained EV demand recovery reduces the risk that Ford’s $4.0B–$4.5B Model e loss guidance proves too optimistic.</w:t>
      </w:r>
    </w:p>
    <w:p>
      <w:pPr>
        <w:pStyle w:val="ListBullet"/>
        <w:ind w:left="360" w:hanging="360"/>
      </w:pPr>
      <w:r>
        <w:rPr>
          <w:rFonts w:ascii="Calibri" w:hAnsi="Calibri"/>
          <w:b/>
          <w:color w:val="525866"/>
          <w:sz w:val="22"/>
        </w:rPr>
        <w:t>Energy Storage Market: Long-Term Gross Margins Guided to Mid-to-Low 20% Range:</w:t>
      </w:r>
      <w:r>
        <w:rPr>
          <w:rFonts w:ascii="Calibri" w:hAnsi="Calibri"/>
          <w:color w:val="525866"/>
          <w:sz w:val="22"/>
        </w:rPr>
        <w:t xml:space="preserve"> Tesla guided long-term energy business gross margins to normalize in the mid-to-low 20% range, with robust order backlog and significant future demand from data center growth and electrification. </w:t>
      </w:r>
      <w:r>
        <w:rPr>
          <w:rFonts w:ascii="Calibri" w:hAnsi="Calibri"/>
          <w:b/>
          <w:color w:val="525866"/>
          <w:sz w:val="22"/>
        </w:rPr>
        <w:t>Read-through for Ford:</w:t>
      </w:r>
      <w:r>
        <w:rPr>
          <w:rFonts w:ascii="Calibri" w:hAnsi="Calibri"/>
          <w:color w:val="525866"/>
          <w:sz w:val="22"/>
        </w:rPr>
        <w:t xml:space="preserve"> Sets a market-level margin benchmark for utility-scale energy storage. Ford Energy’s economics will be benchmarked against Tesla’s experience; the mid-20% gross margin range is a useful reference point for Ford’s $500M EBIT contribution target by end of decade.</w:t>
      </w:r>
    </w:p>
    <w:p>
      <w:pPr>
        <w:pStyle w:val="ListBullet"/>
        <w:ind w:left="360" w:hanging="360"/>
      </w:pPr>
      <w:r>
        <w:rPr>
          <w:rFonts w:ascii="Calibri" w:hAnsi="Calibri"/>
          <w:b/>
          <w:color w:val="525866"/>
          <w:sz w:val="22"/>
        </w:rPr>
        <w:t>CapEx Increasing Further in H2 2026 (Full-Year &gt;$25B):</w:t>
      </w:r>
      <w:r>
        <w:rPr>
          <w:rFonts w:ascii="Calibri" w:hAnsi="Calibri"/>
          <w:color w:val="525866"/>
          <w:sz w:val="22"/>
        </w:rPr>
        <w:t xml:space="preserve"> Tesla guided CapEx to increase further in H2 2026, with full-year CapEx projected at more than $25B. </w:t>
      </w:r>
      <w:r>
        <w:rPr>
          <w:rFonts w:ascii="Calibri" w:hAnsi="Calibri"/>
          <w:b/>
          <w:color w:val="525866"/>
          <w:sz w:val="22"/>
        </w:rPr>
        <w:t>Read-through for Ford:</w:t>
      </w:r>
      <w:r>
        <w:rPr>
          <w:rFonts w:ascii="Calibri" w:hAnsi="Calibri"/>
          <w:color w:val="525866"/>
          <w:sz w:val="22"/>
        </w:rPr>
        <w:t xml:space="preserve"> Tesla’s aggressive CapEx ramp is specific to its robotaxi/Optimus/AI ambitions and is not directly comparable to Ford’s $9.5B–$10.5B CapEx guidance. However, it signals that the EV/energy infrastructure investment cycle is intensifying industry-wide.</w:t>
      </w:r>
    </w:p>
    <w:p>
      <w:r>
        <w:rPr>
          <w:rFonts w:ascii="Calibri" w:hAnsi="Calibri"/>
          <w:i/>
          <w:color w:val="525866"/>
          <w:sz w:val="22"/>
        </w:rPr>
        <w:t>Sources: GM Q2 2026 Earnings Call transcript and Earnings Release (July 21, 2026); Tesla Q2 2026 Earnings Call transcript (July 22, 2026). All commentary pertains to Q2 2026 results or forward outlook issued after Ford’s Q1 2026 earnings date (April 29, 2026). No prior-quarter peer commentary is included.</w:t>
      </w:r>
    </w:p>
    <w:p>
      <w:r>
        <w:br w:type="page"/>
      </w:r>
    </w:p>
    <w:p>
      <w:pPr>
        <w:pStyle w:val="Heading1"/>
        <w:pBdr>
          <w:bottom w:val="single" w:sz="4" w:space="1" w:color="FB9120"/>
        </w:pBdr>
      </w:pPr>
      <w:r>
        <w:rPr>
          <w:rFonts w:ascii="Calibri" w:hAnsi="Calibri"/>
          <w:b/>
          <w:color w:val="3B4259"/>
          <w:sz w:val="40"/>
        </w:rPr>
        <w:t>8. Insider Transaction Activity</w:t>
      </w:r>
    </w:p>
    <w:p>
      <w:r>
        <w:rPr>
          <w:rFonts w:ascii="Calibri" w:hAnsi="Calibri"/>
          <w:b/>
          <w:color w:val="525866"/>
          <w:sz w:val="22"/>
        </w:rPr>
        <w:t xml:space="preserve">Key Takeaway: </w:t>
      </w:r>
      <w:r>
        <w:rPr>
          <w:rFonts w:ascii="Calibri" w:hAnsi="Calibri"/>
          <w:color w:val="525866"/>
          <w:sz w:val="22"/>
        </w:rPr>
        <w:t>Only one open-market insider transaction was filed in the last 60 days — a director open-market purchase of ~$150K — which is a modest positive signal but not a strong conviction buy. No insider sales were filed in the period.</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Name</w:t>
            </w:r>
          </w:p>
        </w:tc>
        <w:tc>
          <w:tcPr>
            <w:tcW w:type="dxa" w:w="1080"/>
            <w:shd w:val="clear" w:color="auto" w:fill="3B4259"/>
          </w:tcPr>
          <w:p>
            <w:r>
              <w:rPr>
                <w:rFonts w:ascii="Calibri" w:hAnsi="Calibri"/>
                <w:b/>
                <w:color w:val="FFFFFF"/>
                <w:sz w:val="22"/>
              </w:rPr>
              <w:t>Title</w:t>
            </w:r>
          </w:p>
        </w:tc>
        <w:tc>
          <w:tcPr>
            <w:tcW w:type="dxa" w:w="1080"/>
            <w:shd w:val="clear" w:color="auto" w:fill="3B4259"/>
          </w:tcPr>
          <w:p>
            <w:r>
              <w:rPr>
                <w:rFonts w:ascii="Calibri" w:hAnsi="Calibri"/>
                <w:b/>
                <w:color w:val="FFFFFF"/>
                <w:sz w:val="22"/>
              </w:rPr>
              <w:t>Transaction Type</w:t>
            </w:r>
          </w:p>
        </w:tc>
        <w:tc>
          <w:tcPr>
            <w:tcW w:type="dxa" w:w="1080"/>
            <w:shd w:val="clear" w:color="auto" w:fill="3B4259"/>
          </w:tcPr>
          <w:p>
            <w:r>
              <w:rPr>
                <w:rFonts w:ascii="Calibri" w:hAnsi="Calibri"/>
                <w:b/>
                <w:color w:val="FFFFFF"/>
                <w:sz w:val="22"/>
              </w:rPr>
              <w:t>Shares</w:t>
            </w:r>
          </w:p>
        </w:tc>
        <w:tc>
          <w:tcPr>
            <w:tcW w:type="dxa" w:w="1080"/>
            <w:shd w:val="clear" w:color="auto" w:fill="3B4259"/>
          </w:tcPr>
          <w:p>
            <w:r>
              <w:rPr>
                <w:rFonts w:ascii="Calibri" w:hAnsi="Calibri"/>
                <w:b/>
                <w:color w:val="FFFFFF"/>
                <w:sz w:val="22"/>
              </w:rPr>
              <w:t>Est. Value</w:t>
            </w:r>
          </w:p>
        </w:tc>
        <w:tc>
          <w:tcPr>
            <w:tcW w:type="dxa" w:w="1080"/>
            <w:shd w:val="clear" w:color="auto" w:fill="3B4259"/>
          </w:tcPr>
          <w:p>
            <w:r>
              <w:rPr>
                <w:rFonts w:ascii="Calibri" w:hAnsi="Calibri"/>
                <w:b/>
                <w:color w:val="FFFFFF"/>
                <w:sz w:val="22"/>
              </w:rPr>
              <w:t>Transaction Date</w:t>
            </w:r>
          </w:p>
        </w:tc>
        <w:tc>
          <w:tcPr>
            <w:tcW w:type="dxa" w:w="1080"/>
            <w:shd w:val="clear" w:color="auto" w:fill="3B4259"/>
          </w:tcPr>
          <w:p>
            <w:r>
              <w:rPr>
                <w:rFonts w:ascii="Calibri" w:hAnsi="Calibri"/>
                <w:b/>
                <w:color w:val="FFFFFF"/>
                <w:sz w:val="22"/>
              </w:rPr>
              <w:t>Filing Date</w:t>
            </w:r>
          </w:p>
        </w:tc>
        <w:tc>
          <w:tcPr>
            <w:tcW w:type="dxa" w:w="1080"/>
            <w:shd w:val="clear" w:color="auto" w:fill="3B4259"/>
          </w:tcPr>
          <w:p>
            <w:r>
              <w:rPr>
                <w:rFonts w:ascii="Calibri" w:hAnsi="Calibri"/>
                <w:b/>
                <w:color w:val="FFFFFF"/>
                <w:sz w:val="22"/>
              </w:rPr>
              <w:t>Note</w:t>
            </w:r>
          </w:p>
        </w:tc>
      </w:tr>
      <w:tr>
        <w:tc>
          <w:tcPr>
            <w:tcW w:type="dxa" w:w="1080"/>
          </w:tcPr>
          <w:p>
            <w:r>
              <w:rPr>
                <w:rFonts w:ascii="Calibri" w:hAnsi="Calibri"/>
                <w:sz w:val="22"/>
              </w:rPr>
              <w:t>John L. Thornton</w:t>
            </w:r>
          </w:p>
        </w:tc>
        <w:tc>
          <w:tcPr>
            <w:tcW w:type="dxa" w:w="1080"/>
          </w:tcPr>
          <w:p>
            <w:r>
              <w:rPr>
                <w:rFonts w:ascii="Calibri" w:hAnsi="Calibri"/>
                <w:sz w:val="22"/>
              </w:rPr>
              <w:t>Director</w:t>
            </w:r>
          </w:p>
        </w:tc>
        <w:tc>
          <w:tcPr>
            <w:tcW w:type="dxa" w:w="1080"/>
          </w:tcPr>
          <w:p>
            <w:r>
              <w:rPr>
                <w:rFonts w:ascii="Calibri" w:hAnsi="Calibri"/>
                <w:sz w:val="22"/>
              </w:rPr>
              <w:t>Open Market Buy</w:t>
            </w:r>
          </w:p>
        </w:tc>
        <w:tc>
          <w:tcPr>
            <w:tcW w:type="dxa" w:w="1080"/>
          </w:tcPr>
          <w:p>
            <w:r>
              <w:rPr>
                <w:rFonts w:ascii="Calibri" w:hAnsi="Calibri"/>
                <w:sz w:val="22"/>
              </w:rPr>
              <w:t>10,600</w:t>
            </w:r>
          </w:p>
        </w:tc>
        <w:tc>
          <w:tcPr>
            <w:tcW w:type="dxa" w:w="1080"/>
          </w:tcPr>
          <w:p>
            <w:r>
              <w:rPr>
                <w:rFonts w:ascii="Calibri" w:hAnsi="Calibri"/>
                <w:sz w:val="22"/>
              </w:rPr>
              <w:t>~$146,000–$150,000 (est. at ~$13.80–$14.15/share range on Jun 23)</w:t>
            </w:r>
          </w:p>
        </w:tc>
        <w:tc>
          <w:tcPr>
            <w:tcW w:type="dxa" w:w="1080"/>
          </w:tcPr>
          <w:p>
            <w:r>
              <w:rPr>
                <w:rFonts w:ascii="Calibri" w:hAnsi="Calibri"/>
                <w:sz w:val="22"/>
              </w:rPr>
              <w:t>June 23, 2026</w:t>
            </w:r>
          </w:p>
        </w:tc>
        <w:tc>
          <w:tcPr>
            <w:tcW w:type="dxa" w:w="1080"/>
          </w:tcPr>
          <w:p>
            <w:r>
              <w:rPr>
                <w:rFonts w:ascii="Calibri" w:hAnsi="Calibri"/>
                <w:sz w:val="22"/>
              </w:rPr>
              <w:t>June 24, 2026</w:t>
            </w:r>
          </w:p>
        </w:tc>
        <w:tc>
          <w:tcPr>
            <w:tcW w:type="dxa" w:w="1080"/>
          </w:tcPr>
          <w:p>
            <w:r>
              <w:rPr>
                <w:rFonts w:ascii="Calibri" w:hAnsi="Calibri"/>
                <w:sz w:val="22"/>
              </w:rPr>
              <w:t>Discretionary open-market purchase; no 10b5-1 plan. Post-transaction holdings: 486,685 shares. Purchased near the June trough (~$13.84 on Jun 24 close).</w:t>
            </w:r>
          </w:p>
        </w:tc>
      </w:tr>
    </w:tbl>
    <w:p>
      <w:r>
        <w:rPr>
          <w:rFonts w:ascii="Calibri" w:hAnsi="Calibri"/>
          <w:b/>
          <w:color w:val="525866"/>
          <w:sz w:val="22"/>
        </w:rPr>
        <w:t xml:space="preserve">Commentary: </w:t>
      </w:r>
      <w:r>
        <w:rPr>
          <w:rFonts w:ascii="Calibri" w:hAnsi="Calibri"/>
          <w:i/>
          <w:color w:val="525866"/>
          <w:sz w:val="22"/>
        </w:rPr>
        <w:t>The sole insider transaction in the last 60 days is a director open-market purchase by John L. Thornton on June 23, 2026 — a discretionary buy of 10,600 shares at approximately $13.80–$14.15/share (near the June trough), with no 10b5-1 plan. The purchase is a modest positive signal, suggesting at least one board member viewed the stock as attractively valued during the June pullback. The absence of any insider sales in the period is also notable given the stock’s ~20% rally since Q1 earnings. No C-suite (CEO, CFO, COO) transactions were filed. Overall, insider activity is quiet but not alarming. Source: SEC Form 4 Filings (Insider Transaction Data); Form 4 filing link: https://www.sec.gov/Archives/edgar/data/37996/000003799626000149/xslF345X06/wk-form4_1782332186.xml</w:t>
      </w:r>
    </w:p>
    <w:p>
      <w:r>
        <w:br w:type="page"/>
      </w:r>
    </w:p>
    <w:p>
      <w:pPr>
        <w:pStyle w:val="Heading1"/>
        <w:pBdr>
          <w:bottom w:val="single" w:sz="4" w:space="1" w:color="FB9120"/>
        </w:pBdr>
      </w:pPr>
      <w:r>
        <w:rPr>
          <w:rFonts w:ascii="Calibri" w:hAnsi="Calibri"/>
          <w:b/>
          <w:color w:val="3B4259"/>
          <w:sz w:val="40"/>
        </w:rPr>
        <w:t>9. Key Questions for Management</w:t>
      </w:r>
    </w:p>
    <w:p>
      <w:pPr>
        <w:pStyle w:val="ListNumber"/>
        <w:ind w:left="360" w:hanging="360"/>
      </w:pPr>
      <w:r>
        <w:rPr>
          <w:rFonts w:ascii="Calibri" w:hAnsi="Calibri"/>
          <w:b/>
          <w:color w:val="525866"/>
          <w:sz w:val="22"/>
        </w:rPr>
        <w:t>Novelis Ramp Update — Is Full Throughput Still on Track for Q4?</w:t>
      </w:r>
      <w:r>
        <w:rPr>
          <w:rFonts w:ascii="Calibri" w:hAnsi="Calibri"/>
          <w:color w:val="525866"/>
          <w:sz w:val="22"/>
        </w:rPr>
        <w:t xml:space="preserve"> The hot mill restart was confirmed for May on the Q1 call. What is the current status of the ramp-up? Is the $1B YoY EBIT improvement (net of $1.5B–$2B one-time costs) still the right framework, and is the volume recovery still weighted to Q4?</w:t>
      </w:r>
    </w:p>
    <w:p>
      <w:pPr>
        <w:pStyle w:val="ListNumber"/>
        <w:ind w:left="360" w:hanging="360"/>
      </w:pPr>
      <w:r>
        <w:rPr>
          <w:rFonts w:ascii="Calibri" w:hAnsi="Calibri"/>
          <w:b/>
          <w:color w:val="525866"/>
          <w:sz w:val="22"/>
        </w:rPr>
        <w:t>Full-Year EBIT Guidance — Raise, Narrow, or Hold?</w:t>
      </w:r>
      <w:r>
        <w:rPr>
          <w:rFonts w:ascii="Calibri" w:hAnsi="Calibri"/>
          <w:color w:val="525866"/>
          <w:sz w:val="22"/>
        </w:rPr>
        <w:t xml:space="preserve"> Jefferies upgraded Ford specifically citing potential for a guidance raise. Given Q1’s strong beat and GM’s second guidance raise, will Ford narrow or raise the $8.5B–$10.5B range? What are the key swing factors for the upper vs. lower end?</w:t>
      </w:r>
    </w:p>
    <w:p>
      <w:pPr>
        <w:pStyle w:val="ListNumber"/>
        <w:ind w:left="360" w:hanging="360"/>
      </w:pPr>
      <w:r>
        <w:rPr>
          <w:rFonts w:ascii="Calibri" w:hAnsi="Calibri"/>
          <w:b/>
          <w:color w:val="525866"/>
          <w:sz w:val="22"/>
        </w:rPr>
        <w:t>Ford Pro EBIT Trajectory — Can the Segment Sustain $1.9B+ Quarterly Run-Rate?</w:t>
      </w:r>
      <w:r>
        <w:rPr>
          <w:rFonts w:ascii="Calibri" w:hAnsi="Calibri"/>
          <w:color w:val="525866"/>
          <w:sz w:val="22"/>
        </w:rPr>
        <w:t xml:space="preserve"> Q2 consensus implies $1.907B, a step-up from Q1’s $1.685B. What is driving the sequential improvement — Novelis volume recovery, software subscription growth, or pricing? How should investors think about the H2 cadence given the $6.5B–$7.5B FY guide?</w:t>
      </w:r>
    </w:p>
    <w:p>
      <w:pPr>
        <w:pStyle w:val="ListNumber"/>
        <w:ind w:left="360" w:hanging="360"/>
      </w:pPr>
      <w:r>
        <w:rPr>
          <w:rFonts w:ascii="Calibri" w:hAnsi="Calibri"/>
          <w:b/>
          <w:color w:val="525866"/>
          <w:sz w:val="22"/>
        </w:rPr>
        <w:t>Model e Losses — Is Q1’s -$777M the Trough, or Does Q2 Worsen?</w:t>
      </w:r>
      <w:r>
        <w:rPr>
          <w:rFonts w:ascii="Calibri" w:hAnsi="Calibri"/>
          <w:color w:val="525866"/>
          <w:sz w:val="22"/>
        </w:rPr>
        <w:t xml:space="preserve"> Management guided Q1 as the strongest quarter for Model e this year, implying losses worsen in Q2–Q4. Consensus expects -$1.126B in Q2. What is driving the sequential deterioration — incremental UEV/Ford Energy investment, volume mix, or cost structure? Is the $4.0B–$4.5B FY range still intact?</w:t>
      </w:r>
    </w:p>
    <w:p>
      <w:pPr>
        <w:pStyle w:val="ListNumber"/>
        <w:ind w:left="360" w:hanging="360"/>
      </w:pPr>
      <w:r>
        <w:rPr>
          <w:rFonts w:ascii="Calibri" w:hAnsi="Calibri"/>
          <w:b/>
          <w:color w:val="525866"/>
          <w:sz w:val="22"/>
        </w:rPr>
        <w:t>Commodity Costs — Has the $2B+ Headwind Worsened or Stabilized?</w:t>
      </w:r>
      <w:r>
        <w:rPr>
          <w:rFonts w:ascii="Calibri" w:hAnsi="Calibri"/>
          <w:color w:val="525866"/>
          <w:sz w:val="22"/>
        </w:rPr>
        <w:t xml:space="preserve"> Ford raised its commodity headwind estimate by $1B at Q1 (to $2B+), driven by aluminum pricing. GM confirmed commodity inflation accelerating in H2. Has Ford’s aluminum cost outlook changed since the Q1 call? What is the current forward curve assumption?</w:t>
      </w:r>
    </w:p>
    <w:p>
      <w:pPr>
        <w:pStyle w:val="ListNumber"/>
        <w:ind w:left="360" w:hanging="360"/>
      </w:pPr>
      <w:r>
        <w:rPr>
          <w:rFonts w:ascii="Calibri" w:hAnsi="Calibri"/>
          <w:b/>
          <w:color w:val="525866"/>
          <w:sz w:val="22"/>
        </w:rPr>
        <w:t>USMCA Renegotiation — What Is Ford’s Exposure and Contingency Plan?</w:t>
      </w:r>
      <w:r>
        <w:rPr>
          <w:rFonts w:ascii="Calibri" w:hAnsi="Calibri"/>
          <w:color w:val="525866"/>
          <w:sz w:val="22"/>
        </w:rPr>
        <w:t xml:space="preserve"> The Trump administration proposed raising regional content to 82% with a 50% U.S.-specific floor. Ford CFO flagged no clarity on final requirements. What is Ford’s current USMCA content compliance level? What onshoring investments are being evaluated, and what is the potential cost impact?</w:t>
      </w:r>
    </w:p>
    <w:p>
      <w:pPr>
        <w:pStyle w:val="ListNumber"/>
        <w:ind w:left="360" w:hanging="360"/>
      </w:pPr>
      <w:r>
        <w:rPr>
          <w:rFonts w:ascii="Calibri" w:hAnsi="Calibri"/>
          <w:b/>
          <w:color w:val="525866"/>
          <w:sz w:val="22"/>
        </w:rPr>
        <w:t>Ford Energy (BASS) — Commercial Pipeline and Margin Expectations?</w:t>
      </w:r>
      <w:r>
        <w:rPr>
          <w:rFonts w:ascii="Calibri" w:hAnsi="Calibri"/>
          <w:color w:val="525866"/>
          <w:sz w:val="22"/>
        </w:rPr>
        <w:t xml:space="preserve"> The Blue Oval SK JV dissolution completed in Q2, enabling the Kentucky facility conversion. What is the current status of customer contracting? How does Ford’s energy storage margin profile compare to Tesla’s (which guided to mid-to-low 20% gross margins long-term)? Is the $500M EBIT contribution by end of decade still the right framework?</w:t>
      </w:r>
    </w:p>
    <w:p>
      <w:pPr>
        <w:pStyle w:val="ListNumber"/>
        <w:ind w:left="360" w:hanging="360"/>
      </w:pPr>
      <w:r>
        <w:rPr>
          <w:rFonts w:ascii="Calibri" w:hAnsi="Calibri"/>
          <w:b/>
          <w:color w:val="525866"/>
          <w:sz w:val="22"/>
        </w:rPr>
        <w:t>UEV Platform — Supplier Readiness and Launch Confidence?</w:t>
      </w:r>
      <w:r>
        <w:rPr>
          <w:rFonts w:ascii="Calibri" w:hAnsi="Calibri"/>
          <w:color w:val="525866"/>
          <w:sz w:val="22"/>
        </w:rPr>
        <w:t xml:space="preserve"> Management flagged four work streams (mega-casting hardware, software platform, supplier readiness, equipment installation) as all on track at Q1. What is the current status? Has the supplier readiness assessment revealed any risks to the 2027 launch timeline?</w:t>
      </w:r>
    </w:p>
    <w:p>
      <w:pPr>
        <w:pStyle w:val="ListNumber"/>
        <w:ind w:left="360" w:hanging="360"/>
      </w:pPr>
      <w:r>
        <w:rPr>
          <w:rFonts w:ascii="Calibri" w:hAnsi="Calibri"/>
          <w:b/>
          <w:color w:val="525866"/>
          <w:sz w:val="22"/>
        </w:rPr>
        <w:t>Adjusted Free Cash Flow — When Does the IEEPA Cash Arrive?</w:t>
      </w:r>
      <w:r>
        <w:rPr>
          <w:rFonts w:ascii="Calibri" w:hAnsi="Calibri"/>
          <w:color w:val="525866"/>
          <w:sz w:val="22"/>
        </w:rPr>
        <w:t xml:space="preserve"> The $1.3B IEEPA tariff benefit was excluded from FCF guidance due to timing uncertainty. Has Ford received any of this cash in Q2? What is the expected timing, and does it change the FCF guidance range?</w:t>
      </w:r>
    </w:p>
    <w:p>
      <w:pPr>
        <w:pStyle w:val="ListNumber"/>
        <w:ind w:left="360" w:hanging="360"/>
      </w:pPr>
      <w:r>
        <w:rPr>
          <w:rFonts w:ascii="Calibri" w:hAnsi="Calibri"/>
          <w:b/>
          <w:color w:val="525866"/>
          <w:sz w:val="22"/>
        </w:rPr>
        <w:t>Ford-Geely Spain JV — Financial Impact and European Strategy?</w:t>
      </w:r>
      <w:r>
        <w:rPr>
          <w:rFonts w:ascii="Calibri" w:hAnsi="Calibri"/>
          <w:color w:val="525866"/>
          <w:sz w:val="22"/>
        </w:rPr>
        <w:t xml:space="preserve"> The JV was announced July 23 with first production in 2028. What is the expected financial contribution (revenue, EBIT) from the JV? Does this change Ford’s European capacity utilization outlook and the path to European profitability?</w:t>
      </w:r>
    </w:p>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rPr>
      <w:rFonts w:ascii="Calibri" w:hAnsi="Calibri"/>
      <w:sz w:val="22"/>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